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C37DA" w14:textId="60B64394" w:rsidR="00A37BB8" w:rsidRPr="00A37BB8" w:rsidRDefault="00A37BB8" w:rsidP="00A37BB8">
      <w:pPr>
        <w:pStyle w:val="Heading2"/>
        <w:spacing w:before="0" w:line="240" w:lineRule="auto"/>
        <w:contextualSpacing/>
        <w:rPr>
          <w:rFonts w:asciiTheme="minorHAnsi" w:hAnsiTheme="minorHAnsi" w:cstheme="minorHAnsi"/>
          <w:color w:val="auto"/>
          <w:sz w:val="21"/>
          <w:szCs w:val="21"/>
        </w:rPr>
      </w:pPr>
      <w:r w:rsidRPr="00A37BB8">
        <w:rPr>
          <w:rFonts w:asciiTheme="minorHAnsi" w:hAnsiTheme="minorHAnsi" w:cstheme="minorHAnsi"/>
          <w:color w:val="auto"/>
          <w:sz w:val="21"/>
          <w:szCs w:val="21"/>
        </w:rPr>
        <w:t xml:space="preserve">Sample letter of </w:t>
      </w:r>
      <w:r w:rsidR="00644213">
        <w:rPr>
          <w:rFonts w:asciiTheme="minorHAnsi" w:hAnsiTheme="minorHAnsi" w:cstheme="minorHAnsi"/>
          <w:color w:val="auto"/>
          <w:sz w:val="21"/>
          <w:szCs w:val="21"/>
        </w:rPr>
        <w:t>appeal</w:t>
      </w:r>
      <w:r w:rsidRPr="00A37BB8">
        <w:rPr>
          <w:rFonts w:asciiTheme="minorHAnsi" w:hAnsiTheme="minorHAnsi" w:cstheme="minorHAnsi"/>
          <w:color w:val="auto"/>
          <w:sz w:val="21"/>
          <w:szCs w:val="21"/>
        </w:rPr>
        <w:t xml:space="preserve"> for </w:t>
      </w:r>
      <w:r>
        <w:rPr>
          <w:rFonts w:asciiTheme="minorHAnsi" w:hAnsiTheme="minorHAnsi" w:cstheme="minorHAnsi"/>
          <w:color w:val="auto"/>
          <w:sz w:val="21"/>
          <w:szCs w:val="21"/>
        </w:rPr>
        <w:t>TECELRA®</w:t>
      </w:r>
      <w:r w:rsidRPr="00A37BB8">
        <w:rPr>
          <w:rFonts w:asciiTheme="minorHAnsi" w:hAnsiTheme="minorHAnsi" w:cstheme="minorHAnsi"/>
          <w:color w:val="auto"/>
          <w:sz w:val="21"/>
          <w:szCs w:val="21"/>
        </w:rPr>
        <w:t xml:space="preserve"> (</w:t>
      </w:r>
      <w:r>
        <w:rPr>
          <w:rFonts w:asciiTheme="minorHAnsi" w:hAnsiTheme="minorHAnsi" w:cstheme="minorHAnsi"/>
          <w:color w:val="auto"/>
          <w:sz w:val="21"/>
          <w:szCs w:val="21"/>
        </w:rPr>
        <w:t>a</w:t>
      </w:r>
      <w:r w:rsidRPr="00A37BB8">
        <w:rPr>
          <w:rFonts w:asciiTheme="minorHAnsi" w:hAnsiTheme="minorHAnsi" w:cstheme="minorHAnsi"/>
          <w:color w:val="auto"/>
          <w:sz w:val="21"/>
          <w:szCs w:val="21"/>
        </w:rPr>
        <w:t>famitresgene autoleucel)</w:t>
      </w:r>
    </w:p>
    <w:p w14:paraId="256788A7" w14:textId="77777777" w:rsidR="00A37BB8" w:rsidRPr="00A37BB8" w:rsidRDefault="00A37BB8" w:rsidP="00A37BB8">
      <w:pPr>
        <w:contextualSpacing/>
        <w:rPr>
          <w:rFonts w:eastAsia="Times New Roman" w:cstheme="minorHAnsi"/>
          <w:b/>
          <w:sz w:val="21"/>
          <w:szCs w:val="21"/>
        </w:rPr>
      </w:pPr>
    </w:p>
    <w:p w14:paraId="0FF23C39" w14:textId="5463FB1B" w:rsidR="00A37BB8" w:rsidRPr="00A37BB8" w:rsidRDefault="00A37BB8" w:rsidP="00A37BB8">
      <w:pPr>
        <w:contextualSpacing/>
        <w:rPr>
          <w:rFonts w:cstheme="minorHAnsi"/>
          <w:sz w:val="21"/>
          <w:szCs w:val="21"/>
        </w:rPr>
      </w:pPr>
      <w:r w:rsidRPr="00A37BB8">
        <w:rPr>
          <w:rFonts w:cstheme="minorHAnsi"/>
          <w:sz w:val="21"/>
          <w:szCs w:val="21"/>
        </w:rPr>
        <w:t xml:space="preserve">This letter provides an example of the types of information that may be provided when responding to a request from a patient’s insurance company to provide a letter of appeal for </w:t>
      </w:r>
      <w:r>
        <w:rPr>
          <w:rFonts w:cstheme="minorHAnsi"/>
          <w:sz w:val="21"/>
          <w:szCs w:val="21"/>
        </w:rPr>
        <w:t>TECELRA</w:t>
      </w:r>
      <w:r w:rsidRPr="00A37BB8">
        <w:rPr>
          <w:rFonts w:cstheme="minorHAnsi"/>
          <w:sz w:val="21"/>
          <w:szCs w:val="21"/>
        </w:rPr>
        <w:t xml:space="preserve">. Use of the information in this letter does not guarantee that the health plan will provide reimbursement for </w:t>
      </w:r>
      <w:r>
        <w:rPr>
          <w:rFonts w:cstheme="minorHAnsi"/>
          <w:sz w:val="21"/>
          <w:szCs w:val="21"/>
        </w:rPr>
        <w:t xml:space="preserve">TECELRA </w:t>
      </w:r>
      <w:r w:rsidRPr="00A37BB8">
        <w:rPr>
          <w:rFonts w:cstheme="minorHAnsi"/>
          <w:sz w:val="21"/>
          <w:szCs w:val="21"/>
        </w:rPr>
        <w:t>and is not intended to be a substitute for or influence on the independent medical judgment of the physician.</w:t>
      </w:r>
    </w:p>
    <w:p w14:paraId="5AFD0A1B" w14:textId="77777777" w:rsidR="00A37BB8" w:rsidRPr="00A37BB8" w:rsidRDefault="00A37BB8" w:rsidP="00A37BB8">
      <w:pPr>
        <w:contextualSpacing/>
        <w:rPr>
          <w:rFonts w:eastAsia="Times New Roman" w:cstheme="minorHAnsi"/>
          <w:b/>
          <w:sz w:val="21"/>
          <w:szCs w:val="21"/>
        </w:rPr>
      </w:pPr>
    </w:p>
    <w:p w14:paraId="38799EE0" w14:textId="0F112936" w:rsidR="00A37BB8" w:rsidRPr="00A37BB8" w:rsidRDefault="00A37BB8" w:rsidP="00A37BB8">
      <w:pPr>
        <w:contextualSpacing/>
        <w:rPr>
          <w:rFonts w:eastAsia="Times New Roman" w:cstheme="minorHAnsi"/>
          <w:b/>
          <w:sz w:val="21"/>
          <w:szCs w:val="21"/>
        </w:rPr>
      </w:pPr>
      <w:r>
        <w:rPr>
          <w:rFonts w:eastAsia="Times New Roman" w:cstheme="minorHAnsi"/>
          <w:b/>
          <w:sz w:val="21"/>
          <w:szCs w:val="21"/>
        </w:rPr>
        <w:t>Key reminders</w:t>
      </w:r>
    </w:p>
    <w:p w14:paraId="2D6B7669" w14:textId="77777777" w:rsidR="00E45954" w:rsidRDefault="00E45954" w:rsidP="00E45954">
      <w:pPr>
        <w:rPr>
          <w:rFonts w:eastAsia="Times New Roman" w:cstheme="minorHAnsi"/>
          <w:sz w:val="21"/>
          <w:szCs w:val="21"/>
        </w:rPr>
      </w:pPr>
    </w:p>
    <w:p w14:paraId="56B7A95B" w14:textId="1C12A0F5" w:rsidR="00E45954" w:rsidRDefault="00E45954" w:rsidP="00E45954">
      <w:pPr>
        <w:rPr>
          <w:rFonts w:eastAsia="Times New Roman" w:cstheme="minorHAnsi"/>
          <w:sz w:val="21"/>
          <w:szCs w:val="21"/>
        </w:rPr>
      </w:pPr>
      <w:r w:rsidRPr="00E45954">
        <w:rPr>
          <w:rFonts w:eastAsia="Times New Roman" w:cstheme="minorHAnsi"/>
          <w:sz w:val="21"/>
          <w:szCs w:val="21"/>
        </w:rPr>
        <w:t>There are numerous reasons why health plans may deny a</w:t>
      </w:r>
      <w:r w:rsidR="00BF1A68">
        <w:rPr>
          <w:rFonts w:eastAsia="Times New Roman" w:cstheme="minorHAnsi"/>
          <w:sz w:val="21"/>
          <w:szCs w:val="21"/>
        </w:rPr>
        <w:t xml:space="preserve"> Prior Authorization (PA)</w:t>
      </w:r>
      <w:r w:rsidRPr="00E45954">
        <w:rPr>
          <w:rFonts w:eastAsia="Times New Roman" w:cstheme="minorHAnsi"/>
          <w:sz w:val="21"/>
          <w:szCs w:val="21"/>
        </w:rPr>
        <w:t xml:space="preserve"> for </w:t>
      </w:r>
      <w:r>
        <w:rPr>
          <w:rFonts w:eastAsia="Times New Roman" w:cstheme="minorHAnsi"/>
          <w:sz w:val="21"/>
          <w:szCs w:val="21"/>
        </w:rPr>
        <w:t>TECELRA</w:t>
      </w:r>
      <w:r w:rsidRPr="00E45954">
        <w:rPr>
          <w:rFonts w:eastAsia="Times New Roman" w:cstheme="minorHAnsi"/>
          <w:sz w:val="21"/>
          <w:szCs w:val="21"/>
        </w:rPr>
        <w:t xml:space="preserve">. Although the reasons vary by plan, some of the most common include: </w:t>
      </w:r>
    </w:p>
    <w:p w14:paraId="316C8D6E" w14:textId="77777777" w:rsidR="00E45954" w:rsidRDefault="00E45954" w:rsidP="00E45954">
      <w:pPr>
        <w:pStyle w:val="ListParagraph"/>
        <w:numPr>
          <w:ilvl w:val="1"/>
          <w:numId w:val="6"/>
        </w:numPr>
        <w:ind w:left="630"/>
        <w:rPr>
          <w:rFonts w:eastAsia="Times New Roman" w:cstheme="minorHAnsi"/>
          <w:sz w:val="21"/>
          <w:szCs w:val="21"/>
        </w:rPr>
      </w:pPr>
      <w:r w:rsidRPr="00E45954">
        <w:rPr>
          <w:rFonts w:eastAsia="Times New Roman" w:cstheme="minorHAnsi"/>
          <w:sz w:val="21"/>
          <w:szCs w:val="21"/>
        </w:rPr>
        <w:t>Errors in ICD-10-CM coding on the PA request</w:t>
      </w:r>
    </w:p>
    <w:p w14:paraId="3A43A190" w14:textId="77777777" w:rsidR="00E45954" w:rsidRDefault="00E45954" w:rsidP="00E45954">
      <w:pPr>
        <w:pStyle w:val="ListParagraph"/>
        <w:numPr>
          <w:ilvl w:val="1"/>
          <w:numId w:val="6"/>
        </w:numPr>
        <w:ind w:left="630"/>
        <w:rPr>
          <w:rFonts w:eastAsia="Times New Roman" w:cstheme="minorHAnsi"/>
          <w:sz w:val="21"/>
          <w:szCs w:val="21"/>
        </w:rPr>
      </w:pPr>
      <w:r w:rsidRPr="00E45954">
        <w:rPr>
          <w:rFonts w:eastAsia="Times New Roman" w:cstheme="minorHAnsi"/>
          <w:sz w:val="21"/>
          <w:szCs w:val="21"/>
        </w:rPr>
        <w:t>Insufficient documentation on the PA request</w:t>
      </w:r>
    </w:p>
    <w:p w14:paraId="14969A79" w14:textId="0483CB5B" w:rsidR="00E45954" w:rsidRDefault="00E45954" w:rsidP="00E45954">
      <w:pPr>
        <w:pStyle w:val="ListParagraph"/>
        <w:numPr>
          <w:ilvl w:val="1"/>
          <w:numId w:val="6"/>
        </w:numPr>
        <w:ind w:left="630"/>
        <w:rPr>
          <w:rFonts w:eastAsia="Times New Roman" w:cstheme="minorHAnsi"/>
          <w:sz w:val="21"/>
          <w:szCs w:val="21"/>
        </w:rPr>
      </w:pPr>
      <w:r w:rsidRPr="00E45954">
        <w:rPr>
          <w:rFonts w:eastAsia="Times New Roman" w:cstheme="minorHAnsi"/>
          <w:sz w:val="21"/>
          <w:szCs w:val="21"/>
        </w:rPr>
        <w:t xml:space="preserve">Health plan claims lack of medical necessity for </w:t>
      </w:r>
      <w:r>
        <w:rPr>
          <w:rFonts w:eastAsia="Times New Roman" w:cstheme="minorHAnsi"/>
          <w:sz w:val="21"/>
          <w:szCs w:val="21"/>
        </w:rPr>
        <w:t>TECELRA</w:t>
      </w:r>
    </w:p>
    <w:p w14:paraId="7FA4A39B" w14:textId="51581885" w:rsidR="00A37BB8" w:rsidRPr="00E45954" w:rsidRDefault="00E45954" w:rsidP="00E45954">
      <w:pPr>
        <w:pStyle w:val="ListParagraph"/>
        <w:numPr>
          <w:ilvl w:val="1"/>
          <w:numId w:val="6"/>
        </w:numPr>
        <w:ind w:left="630"/>
      </w:pPr>
      <w:r w:rsidRPr="00E45954">
        <w:rPr>
          <w:rFonts w:eastAsia="Times New Roman" w:cstheme="minorHAnsi"/>
          <w:sz w:val="21"/>
          <w:szCs w:val="21"/>
        </w:rPr>
        <w:t>TECELRA is not covered by patient’s health plan</w:t>
      </w:r>
    </w:p>
    <w:p w14:paraId="49995CDA" w14:textId="77777777" w:rsidR="00E45954" w:rsidRDefault="00E45954" w:rsidP="00E45954"/>
    <w:p w14:paraId="7B7A1312" w14:textId="42C7C91C" w:rsidR="00E45954" w:rsidRPr="00A37BB8" w:rsidRDefault="00E45954" w:rsidP="00E45954">
      <w:r>
        <w:t>P</w:t>
      </w:r>
      <w:r w:rsidRPr="00E45954">
        <w:t>lease keep in mind, just as reasons for denial vary, so do each health plan’s requirements for the appeal. It is important to check with the patient’s health plan to ensure you have all the information you need to proceed with the appeal.</w:t>
      </w:r>
    </w:p>
    <w:p w14:paraId="649FCC85" w14:textId="77777777" w:rsidR="00E45954" w:rsidRDefault="00E45954" w:rsidP="00A37BB8">
      <w:pPr>
        <w:contextualSpacing/>
        <w:rPr>
          <w:rFonts w:eastAsia="Times New Roman" w:cstheme="minorHAnsi"/>
          <w:b/>
          <w:sz w:val="21"/>
          <w:szCs w:val="21"/>
        </w:rPr>
      </w:pPr>
    </w:p>
    <w:p w14:paraId="6A2576C1" w14:textId="45D056D4" w:rsidR="00A37BB8" w:rsidRPr="00A37BB8" w:rsidRDefault="00A37BB8" w:rsidP="00A37BB8">
      <w:pPr>
        <w:contextualSpacing/>
        <w:rPr>
          <w:rFonts w:eastAsia="Times New Roman" w:cstheme="minorHAnsi"/>
          <w:b/>
          <w:sz w:val="21"/>
          <w:szCs w:val="21"/>
        </w:rPr>
      </w:pPr>
      <w:r w:rsidRPr="00A37BB8">
        <w:rPr>
          <w:rFonts w:eastAsia="Times New Roman" w:cstheme="minorHAnsi"/>
          <w:b/>
          <w:sz w:val="21"/>
          <w:szCs w:val="21"/>
        </w:rPr>
        <w:t>Checklist</w:t>
      </w:r>
      <w:r w:rsidRPr="00A37BB8">
        <w:rPr>
          <w:rFonts w:eastAsia="Times New Roman" w:cstheme="minorHAnsi"/>
          <w:b/>
          <w:spacing w:val="-8"/>
          <w:sz w:val="21"/>
          <w:szCs w:val="21"/>
        </w:rPr>
        <w:t xml:space="preserve"> </w:t>
      </w:r>
      <w:r w:rsidRPr="00A37BB8">
        <w:rPr>
          <w:rFonts w:eastAsia="Times New Roman" w:cstheme="minorHAnsi"/>
          <w:b/>
          <w:sz w:val="21"/>
          <w:szCs w:val="21"/>
        </w:rPr>
        <w:t>sum</w:t>
      </w:r>
      <w:r w:rsidRPr="00A37BB8">
        <w:rPr>
          <w:rFonts w:eastAsia="Times New Roman" w:cstheme="minorHAnsi"/>
          <w:b/>
          <w:spacing w:val="-1"/>
          <w:sz w:val="21"/>
          <w:szCs w:val="21"/>
        </w:rPr>
        <w:t>m</w:t>
      </w:r>
      <w:r w:rsidRPr="00A37BB8">
        <w:rPr>
          <w:rFonts w:eastAsia="Times New Roman" w:cstheme="minorHAnsi"/>
          <w:b/>
          <w:sz w:val="21"/>
          <w:szCs w:val="21"/>
        </w:rPr>
        <w:t>ary</w:t>
      </w:r>
    </w:p>
    <w:p w14:paraId="3A49B749" w14:textId="77777777" w:rsidR="00A37BB8" w:rsidRPr="00A37BB8" w:rsidRDefault="00A37BB8" w:rsidP="00A37BB8">
      <w:pPr>
        <w:contextualSpacing/>
        <w:rPr>
          <w:rFonts w:eastAsia="Times New Roman" w:cstheme="minorHAnsi"/>
          <w:b/>
          <w:sz w:val="21"/>
          <w:szCs w:val="21"/>
        </w:rPr>
      </w:pPr>
    </w:p>
    <w:p w14:paraId="4256AE2D" w14:textId="5A458F51" w:rsidR="00644213" w:rsidRPr="00A37BB8" w:rsidRDefault="00A37BB8" w:rsidP="00A37BB8">
      <w:pPr>
        <w:contextualSpacing/>
        <w:rPr>
          <w:rFonts w:eastAsia="Times New Roman" w:cstheme="minorHAnsi"/>
          <w:sz w:val="21"/>
          <w:szCs w:val="21"/>
        </w:rPr>
      </w:pPr>
      <w:r w:rsidRPr="00A37BB8">
        <w:rPr>
          <w:rFonts w:eastAsia="Times New Roman" w:cstheme="minorHAnsi"/>
          <w:noProof/>
          <w:sz w:val="21"/>
          <w:szCs w:val="21"/>
        </w:rPr>
        <mc:AlternateContent>
          <mc:Choice Requires="wps">
            <w:drawing>
              <wp:anchor distT="0" distB="0" distL="114300" distR="114300" simplePos="0" relativeHeight="251663360" behindDoc="0" locked="0" layoutInCell="1" allowOverlap="1" wp14:anchorId="302FE268" wp14:editId="3B2963BE">
                <wp:simplePos x="0" y="0"/>
                <wp:positionH relativeFrom="column">
                  <wp:posOffset>190297</wp:posOffset>
                </wp:positionH>
                <wp:positionV relativeFrom="paragraph">
                  <wp:posOffset>33655</wp:posOffset>
                </wp:positionV>
                <wp:extent cx="103505" cy="90805"/>
                <wp:effectExtent l="0" t="0" r="1079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42337" id="Rectangle 7" o:spid="_x0000_s1026" style="position:absolute;margin-left:15pt;margin-top:2.65pt;width:8.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"/>
            </w:pict>
          </mc:Fallback>
        </mc:AlternateContent>
      </w:r>
      <w:r w:rsidRPr="00A37BB8">
        <w:rPr>
          <w:rFonts w:eastAsia="Times New Roman" w:cstheme="minorHAnsi"/>
          <w:sz w:val="21"/>
          <w:szCs w:val="21"/>
        </w:rPr>
        <w:tab/>
        <w:t>Appeal form recommended by health plan</w:t>
      </w:r>
    </w:p>
    <w:p w14:paraId="31B4233F" w14:textId="77777777" w:rsidR="00A37BB8" w:rsidRPr="00A37BB8" w:rsidRDefault="00A37BB8" w:rsidP="00A37BB8">
      <w:pPr>
        <w:ind w:firstLine="720"/>
        <w:contextualSpacing/>
        <w:rPr>
          <w:rFonts w:eastAsia="Times New Roman" w:cstheme="minorHAnsi"/>
          <w:sz w:val="21"/>
          <w:szCs w:val="21"/>
        </w:rPr>
      </w:pPr>
      <w:r w:rsidRPr="00A37BB8">
        <w:rPr>
          <w:rFonts w:eastAsia="Times New Roman" w:cstheme="minorHAnsi"/>
          <w:noProof/>
          <w:sz w:val="21"/>
          <w:szCs w:val="21"/>
        </w:rPr>
        <mc:AlternateContent>
          <mc:Choice Requires="wps">
            <w:drawing>
              <wp:anchor distT="0" distB="0" distL="114300" distR="114300" simplePos="0" relativeHeight="251665408" behindDoc="0" locked="0" layoutInCell="1" allowOverlap="1" wp14:anchorId="77464E62" wp14:editId="31886912">
                <wp:simplePos x="0" y="0"/>
                <wp:positionH relativeFrom="column">
                  <wp:posOffset>191770</wp:posOffset>
                </wp:positionH>
                <wp:positionV relativeFrom="paragraph">
                  <wp:posOffset>39370</wp:posOffset>
                </wp:positionV>
                <wp:extent cx="103505" cy="90805"/>
                <wp:effectExtent l="0" t="0" r="10795"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C06E1" id="Rectangle 9" o:spid="_x0000_s1026" style="position:absolute;margin-left:15.1pt;margin-top:3.1pt;width:8.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"/>
            </w:pict>
          </mc:Fallback>
        </mc:AlternateContent>
      </w:r>
      <w:r w:rsidRPr="00A37BB8">
        <w:rPr>
          <w:rFonts w:eastAsia="Times New Roman" w:cstheme="minorHAnsi"/>
          <w:sz w:val="21"/>
          <w:szCs w:val="21"/>
        </w:rPr>
        <w:t>Current/recent c</w:t>
      </w:r>
      <w:r w:rsidRPr="00A37BB8">
        <w:rPr>
          <w:rFonts w:eastAsia="Times New Roman" w:cstheme="minorHAnsi"/>
          <w:spacing w:val="-1"/>
          <w:sz w:val="21"/>
          <w:szCs w:val="21"/>
        </w:rPr>
        <w:t>h</w:t>
      </w:r>
      <w:r w:rsidRPr="00A37BB8">
        <w:rPr>
          <w:rFonts w:eastAsia="Times New Roman" w:cstheme="minorHAnsi"/>
          <w:sz w:val="21"/>
          <w:szCs w:val="21"/>
        </w:rPr>
        <w:t>a</w:t>
      </w:r>
      <w:r w:rsidRPr="00A37BB8">
        <w:rPr>
          <w:rFonts w:eastAsia="Times New Roman" w:cstheme="minorHAnsi"/>
          <w:spacing w:val="1"/>
          <w:sz w:val="21"/>
          <w:szCs w:val="21"/>
        </w:rPr>
        <w:t>r</w:t>
      </w:r>
      <w:r w:rsidRPr="00A37BB8">
        <w:rPr>
          <w:rFonts w:eastAsia="Times New Roman" w:cstheme="minorHAnsi"/>
          <w:sz w:val="21"/>
          <w:szCs w:val="21"/>
        </w:rPr>
        <w:t>t</w:t>
      </w:r>
      <w:r w:rsidRPr="00A37BB8">
        <w:rPr>
          <w:rFonts w:eastAsia="Times New Roman" w:cstheme="minorHAnsi"/>
          <w:spacing w:val="-8"/>
          <w:sz w:val="21"/>
          <w:szCs w:val="21"/>
        </w:rPr>
        <w:t xml:space="preserve"> </w:t>
      </w:r>
      <w:r w:rsidRPr="00A37BB8">
        <w:rPr>
          <w:rFonts w:eastAsia="Times New Roman" w:cstheme="minorHAnsi"/>
          <w:sz w:val="21"/>
          <w:szCs w:val="21"/>
        </w:rPr>
        <w:t>notes</w:t>
      </w:r>
    </w:p>
    <w:p w14:paraId="66B8E3AD" w14:textId="77777777" w:rsidR="00A37BB8" w:rsidRPr="00A37BB8" w:rsidRDefault="00A37BB8" w:rsidP="00A37BB8">
      <w:pPr>
        <w:pStyle w:val="ListParagraph"/>
        <w:numPr>
          <w:ilvl w:val="0"/>
          <w:numId w:val="3"/>
        </w:numPr>
        <w:rPr>
          <w:rFonts w:eastAsia="Times New Roman" w:cstheme="minorHAnsi"/>
          <w:sz w:val="21"/>
          <w:szCs w:val="21"/>
        </w:rPr>
      </w:pPr>
      <w:r w:rsidRPr="00A37BB8">
        <w:rPr>
          <w:rFonts w:eastAsia="Times New Roman" w:cstheme="minorHAnsi"/>
          <w:sz w:val="21"/>
          <w:szCs w:val="21"/>
        </w:rPr>
        <w:t>Date of initial diagnosis</w:t>
      </w:r>
    </w:p>
    <w:p w14:paraId="5AE7F2EC" w14:textId="77777777" w:rsidR="00A37BB8" w:rsidRPr="00A37BB8" w:rsidRDefault="00A37BB8" w:rsidP="00A37BB8">
      <w:pPr>
        <w:pStyle w:val="ListParagraph"/>
        <w:numPr>
          <w:ilvl w:val="0"/>
          <w:numId w:val="3"/>
        </w:numPr>
        <w:rPr>
          <w:rFonts w:eastAsia="Times New Roman" w:cstheme="minorHAnsi"/>
          <w:sz w:val="21"/>
          <w:szCs w:val="21"/>
        </w:rPr>
      </w:pPr>
      <w:r w:rsidRPr="00A37BB8">
        <w:rPr>
          <w:rFonts w:eastAsia="Times New Roman" w:cstheme="minorHAnsi"/>
          <w:sz w:val="21"/>
          <w:szCs w:val="21"/>
        </w:rPr>
        <w:t>Response to all prior therapies (eg, name of therapy, dose, start date/stop date, length of treatment, and clinical response)</w:t>
      </w:r>
    </w:p>
    <w:p w14:paraId="0F5F3296" w14:textId="130D70EB" w:rsidR="00A37BB8" w:rsidRPr="00A37BB8" w:rsidRDefault="00DD46CA" w:rsidP="00A37BB8">
      <w:pPr>
        <w:pStyle w:val="ListParagraph"/>
        <w:numPr>
          <w:ilvl w:val="0"/>
          <w:numId w:val="3"/>
        </w:numPr>
        <w:rPr>
          <w:rFonts w:eastAsia="Times New Roman" w:cstheme="minorHAnsi"/>
          <w:sz w:val="21"/>
          <w:szCs w:val="21"/>
        </w:rPr>
      </w:pPr>
      <w:r>
        <w:rPr>
          <w:rFonts w:eastAsia="Times New Roman" w:cstheme="minorHAnsi"/>
          <w:sz w:val="21"/>
          <w:szCs w:val="21"/>
        </w:rPr>
        <w:t>R</w:t>
      </w:r>
      <w:r w:rsidR="00A37BB8" w:rsidRPr="00A37BB8">
        <w:rPr>
          <w:rFonts w:eastAsia="Times New Roman" w:cstheme="minorHAnsi"/>
          <w:sz w:val="21"/>
          <w:szCs w:val="21"/>
        </w:rPr>
        <w:t xml:space="preserve">elevant comorbidities </w:t>
      </w:r>
    </w:p>
    <w:p w14:paraId="522458B7" w14:textId="77777777" w:rsidR="00A37BB8" w:rsidRPr="00A37BB8" w:rsidRDefault="00A37BB8" w:rsidP="00A37BB8">
      <w:pPr>
        <w:pStyle w:val="ListParagraph"/>
        <w:rPr>
          <w:rFonts w:eastAsia="Times New Roman" w:cstheme="minorHAnsi"/>
          <w:sz w:val="21"/>
          <w:szCs w:val="21"/>
        </w:rPr>
      </w:pPr>
      <w:r w:rsidRPr="00A37BB8">
        <w:rPr>
          <w:rFonts w:eastAsia="Times New Roman" w:cstheme="minorHAnsi"/>
          <w:noProof/>
          <w:sz w:val="21"/>
          <w:szCs w:val="21"/>
        </w:rPr>
        <mc:AlternateContent>
          <mc:Choice Requires="wps">
            <w:drawing>
              <wp:anchor distT="0" distB="0" distL="114300" distR="114300" simplePos="0" relativeHeight="251664384" behindDoc="0" locked="0" layoutInCell="1" allowOverlap="1" wp14:anchorId="4F230B69" wp14:editId="0E79A1CD">
                <wp:simplePos x="0" y="0"/>
                <wp:positionH relativeFrom="column">
                  <wp:posOffset>199765</wp:posOffset>
                </wp:positionH>
                <wp:positionV relativeFrom="paragraph">
                  <wp:posOffset>38100</wp:posOffset>
                </wp:positionV>
                <wp:extent cx="103505" cy="90805"/>
                <wp:effectExtent l="0" t="0" r="10795" b="234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6326A" id="Rectangle 1" o:spid="_x0000_s1026" style="position:absolute;margin-left:15.75pt;margin-top:3pt;width:8.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"/>
            </w:pict>
          </mc:Fallback>
        </mc:AlternateContent>
      </w:r>
      <w:r w:rsidRPr="00A37BB8">
        <w:rPr>
          <w:rFonts w:eastAsia="Times New Roman" w:cstheme="minorHAnsi"/>
          <w:sz w:val="21"/>
          <w:szCs w:val="21"/>
        </w:rPr>
        <w:t>History prior to your care, if applicable</w:t>
      </w:r>
    </w:p>
    <w:p w14:paraId="7217D97F" w14:textId="77777777" w:rsidR="00A37BB8" w:rsidRPr="00A37BB8" w:rsidRDefault="00A37BB8" w:rsidP="00A37BB8">
      <w:pPr>
        <w:ind w:firstLine="720"/>
        <w:contextualSpacing/>
        <w:rPr>
          <w:rFonts w:eastAsia="Times New Roman" w:cstheme="minorHAnsi"/>
          <w:sz w:val="21"/>
          <w:szCs w:val="21"/>
        </w:rPr>
      </w:pPr>
      <w:r w:rsidRPr="00A37BB8">
        <w:rPr>
          <w:rFonts w:eastAsia="Times New Roman" w:cstheme="minorHAnsi"/>
          <w:noProof/>
          <w:sz w:val="21"/>
          <w:szCs w:val="21"/>
        </w:rPr>
        <mc:AlternateContent>
          <mc:Choice Requires="wps">
            <w:drawing>
              <wp:anchor distT="0" distB="0" distL="114300" distR="114300" simplePos="0" relativeHeight="251660288" behindDoc="0" locked="0" layoutInCell="1" allowOverlap="1" wp14:anchorId="6A9F9731" wp14:editId="07783089">
                <wp:simplePos x="0" y="0"/>
                <wp:positionH relativeFrom="column">
                  <wp:posOffset>202770</wp:posOffset>
                </wp:positionH>
                <wp:positionV relativeFrom="paragraph">
                  <wp:posOffset>34925</wp:posOffset>
                </wp:positionV>
                <wp:extent cx="103505" cy="90805"/>
                <wp:effectExtent l="0" t="0" r="10795"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4DA5E" id="Rectangle 4" o:spid="_x0000_s1026" style="position:absolute;margin-left:15.95pt;margin-top:2.75pt;width:8.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"/>
            </w:pict>
          </mc:Fallback>
        </mc:AlternateContent>
      </w:r>
      <w:r w:rsidRPr="00A37BB8">
        <w:rPr>
          <w:rFonts w:eastAsia="Times New Roman" w:cstheme="minorHAnsi"/>
          <w:sz w:val="21"/>
          <w:szCs w:val="21"/>
        </w:rPr>
        <w:t>Supportive literature</w:t>
      </w:r>
    </w:p>
    <w:p w14:paraId="17FFD579" w14:textId="4A26CF6C" w:rsidR="00A37BB8" w:rsidRPr="00A37BB8" w:rsidRDefault="00A37BB8" w:rsidP="00A37BB8">
      <w:pPr>
        <w:ind w:firstLine="720"/>
        <w:contextualSpacing/>
        <w:rPr>
          <w:rFonts w:eastAsia="Times New Roman" w:cstheme="minorHAnsi"/>
          <w:sz w:val="21"/>
          <w:szCs w:val="21"/>
        </w:rPr>
      </w:pPr>
      <w:r w:rsidRPr="00A37BB8">
        <w:rPr>
          <w:rFonts w:eastAsia="Times New Roman" w:cstheme="minorHAnsi"/>
          <w:noProof/>
          <w:sz w:val="21"/>
          <w:szCs w:val="21"/>
        </w:rPr>
        <mc:AlternateContent>
          <mc:Choice Requires="wps">
            <w:drawing>
              <wp:anchor distT="0" distB="0" distL="114300" distR="114300" simplePos="0" relativeHeight="251661312" behindDoc="0" locked="0" layoutInCell="1" allowOverlap="1" wp14:anchorId="28EAA34E" wp14:editId="4C87AF44">
                <wp:simplePos x="0" y="0"/>
                <wp:positionH relativeFrom="column">
                  <wp:posOffset>200025</wp:posOffset>
                </wp:positionH>
                <wp:positionV relativeFrom="paragraph">
                  <wp:posOffset>32805</wp:posOffset>
                </wp:positionV>
                <wp:extent cx="103505" cy="90805"/>
                <wp:effectExtent l="0" t="0" r="10795"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AF8B3" id="Rectangle 5" o:spid="_x0000_s1026" style="position:absolute;margin-left:15.75pt;margin-top:2.6pt;width:8.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"/>
            </w:pict>
          </mc:Fallback>
        </mc:AlternateContent>
      </w:r>
      <w:r>
        <w:rPr>
          <w:rFonts w:eastAsia="Times New Roman" w:cstheme="minorHAnsi"/>
          <w:sz w:val="21"/>
          <w:szCs w:val="21"/>
        </w:rPr>
        <w:t xml:space="preserve">TECELRA </w:t>
      </w:r>
      <w:r w:rsidRPr="00A37BB8">
        <w:rPr>
          <w:rFonts w:eastAsia="Times New Roman" w:cstheme="minorHAnsi"/>
          <w:sz w:val="21"/>
          <w:szCs w:val="21"/>
        </w:rPr>
        <w:t>Pres</w:t>
      </w:r>
      <w:r w:rsidRPr="00A37BB8">
        <w:rPr>
          <w:rFonts w:eastAsia="Times New Roman" w:cstheme="minorHAnsi"/>
          <w:spacing w:val="3"/>
          <w:sz w:val="21"/>
          <w:szCs w:val="21"/>
        </w:rPr>
        <w:t>c</w:t>
      </w:r>
      <w:r w:rsidRPr="00A37BB8">
        <w:rPr>
          <w:rFonts w:eastAsia="Times New Roman" w:cstheme="minorHAnsi"/>
          <w:spacing w:val="1"/>
          <w:sz w:val="21"/>
          <w:szCs w:val="21"/>
        </w:rPr>
        <w:t>r</w:t>
      </w:r>
      <w:r w:rsidRPr="00A37BB8">
        <w:rPr>
          <w:rFonts w:eastAsia="Times New Roman" w:cstheme="minorHAnsi"/>
          <w:sz w:val="21"/>
          <w:szCs w:val="21"/>
        </w:rPr>
        <w:t>ibing</w:t>
      </w:r>
      <w:r w:rsidRPr="00A37BB8">
        <w:rPr>
          <w:rFonts w:eastAsia="Times New Roman" w:cstheme="minorHAnsi"/>
          <w:spacing w:val="-14"/>
          <w:sz w:val="21"/>
          <w:szCs w:val="21"/>
        </w:rPr>
        <w:t xml:space="preserve"> </w:t>
      </w:r>
      <w:r w:rsidRPr="00A37BB8">
        <w:rPr>
          <w:rFonts w:eastAsia="Times New Roman" w:cstheme="minorHAnsi"/>
          <w:sz w:val="21"/>
          <w:szCs w:val="21"/>
        </w:rPr>
        <w:t>Infor</w:t>
      </w:r>
      <w:r w:rsidRPr="00A37BB8">
        <w:rPr>
          <w:rFonts w:eastAsia="Times New Roman" w:cstheme="minorHAnsi"/>
          <w:spacing w:val="-1"/>
          <w:sz w:val="21"/>
          <w:szCs w:val="21"/>
        </w:rPr>
        <w:t>m</w:t>
      </w:r>
      <w:r w:rsidRPr="00A37BB8">
        <w:rPr>
          <w:rFonts w:eastAsia="Times New Roman" w:cstheme="minorHAnsi"/>
          <w:spacing w:val="-3"/>
          <w:sz w:val="21"/>
          <w:szCs w:val="21"/>
        </w:rPr>
        <w:t>a</w:t>
      </w:r>
      <w:r w:rsidRPr="00A37BB8">
        <w:rPr>
          <w:rFonts w:eastAsia="Times New Roman" w:cstheme="minorHAnsi"/>
          <w:sz w:val="21"/>
          <w:szCs w:val="21"/>
        </w:rPr>
        <w:t>t</w:t>
      </w:r>
      <w:r w:rsidRPr="00A37BB8">
        <w:rPr>
          <w:rFonts w:eastAsia="Times New Roman" w:cstheme="minorHAnsi"/>
          <w:spacing w:val="-3"/>
          <w:sz w:val="21"/>
          <w:szCs w:val="21"/>
        </w:rPr>
        <w:t>i</w:t>
      </w:r>
      <w:r w:rsidRPr="00A37BB8">
        <w:rPr>
          <w:rFonts w:eastAsia="Times New Roman" w:cstheme="minorHAnsi"/>
          <w:sz w:val="21"/>
          <w:szCs w:val="21"/>
        </w:rPr>
        <w:t>on</w:t>
      </w:r>
    </w:p>
    <w:p w14:paraId="4CAD5202" w14:textId="77777777" w:rsidR="00A37BB8" w:rsidRPr="00A37BB8" w:rsidRDefault="00A37BB8" w:rsidP="00A37BB8">
      <w:pPr>
        <w:ind w:firstLine="720"/>
        <w:contextualSpacing/>
        <w:rPr>
          <w:rFonts w:eastAsia="Times New Roman" w:cstheme="minorHAnsi"/>
          <w:sz w:val="21"/>
          <w:szCs w:val="21"/>
        </w:rPr>
      </w:pPr>
      <w:r w:rsidRPr="00A37BB8">
        <w:rPr>
          <w:rFonts w:eastAsia="Times New Roman" w:cstheme="minorHAnsi"/>
          <w:noProof/>
          <w:sz w:val="21"/>
          <w:szCs w:val="21"/>
        </w:rPr>
        <mc:AlternateContent>
          <mc:Choice Requires="wps">
            <w:drawing>
              <wp:anchor distT="0" distB="0" distL="114300" distR="114300" simplePos="0" relativeHeight="251662336" behindDoc="0" locked="0" layoutInCell="1" allowOverlap="1" wp14:anchorId="0C5BABEF" wp14:editId="33DF9657">
                <wp:simplePos x="0" y="0"/>
                <wp:positionH relativeFrom="column">
                  <wp:posOffset>200025</wp:posOffset>
                </wp:positionH>
                <wp:positionV relativeFrom="paragraph">
                  <wp:posOffset>32805</wp:posOffset>
                </wp:positionV>
                <wp:extent cx="103505" cy="90805"/>
                <wp:effectExtent l="0" t="0" r="10795"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BF405" id="Rectangle 6" o:spid="_x0000_s1026" style="position:absolute;margin-left:15.75pt;margin-top:2.6pt;width:8.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"/>
            </w:pict>
          </mc:Fallback>
        </mc:AlternateContent>
      </w:r>
      <w:r w:rsidRPr="00A37BB8">
        <w:rPr>
          <w:rFonts w:eastAsia="Times New Roman" w:cstheme="minorHAnsi"/>
          <w:sz w:val="21"/>
          <w:szCs w:val="21"/>
        </w:rPr>
        <w:t>P</w:t>
      </w:r>
      <w:r w:rsidRPr="00A37BB8">
        <w:rPr>
          <w:rFonts w:eastAsia="Times New Roman" w:cstheme="minorHAnsi"/>
          <w:spacing w:val="-3"/>
          <w:sz w:val="21"/>
          <w:szCs w:val="21"/>
        </w:rPr>
        <w:t>a</w:t>
      </w:r>
      <w:r w:rsidRPr="00A37BB8">
        <w:rPr>
          <w:rFonts w:eastAsia="Times New Roman" w:cstheme="minorHAnsi"/>
          <w:sz w:val="21"/>
          <w:szCs w:val="21"/>
        </w:rPr>
        <w:t>tie</w:t>
      </w:r>
      <w:r w:rsidRPr="00A37BB8">
        <w:rPr>
          <w:rFonts w:eastAsia="Times New Roman" w:cstheme="minorHAnsi"/>
          <w:spacing w:val="-2"/>
          <w:sz w:val="21"/>
          <w:szCs w:val="21"/>
        </w:rPr>
        <w:t>n</w:t>
      </w:r>
      <w:r w:rsidRPr="00A37BB8">
        <w:rPr>
          <w:rFonts w:eastAsia="Times New Roman" w:cstheme="minorHAnsi"/>
          <w:sz w:val="21"/>
          <w:szCs w:val="21"/>
        </w:rPr>
        <w:t>t</w:t>
      </w:r>
      <w:r w:rsidRPr="00A37BB8">
        <w:rPr>
          <w:rFonts w:eastAsia="Times New Roman" w:cstheme="minorHAnsi"/>
          <w:spacing w:val="-15"/>
          <w:sz w:val="21"/>
          <w:szCs w:val="21"/>
        </w:rPr>
        <w:t>’</w:t>
      </w:r>
      <w:r w:rsidRPr="00A37BB8">
        <w:rPr>
          <w:rFonts w:eastAsia="Times New Roman" w:cstheme="minorHAnsi"/>
          <w:sz w:val="21"/>
          <w:szCs w:val="21"/>
        </w:rPr>
        <w:t>s</w:t>
      </w:r>
      <w:r w:rsidRPr="00A37BB8">
        <w:rPr>
          <w:rFonts w:eastAsia="Times New Roman" w:cstheme="minorHAnsi"/>
          <w:spacing w:val="-8"/>
          <w:sz w:val="21"/>
          <w:szCs w:val="21"/>
        </w:rPr>
        <w:t xml:space="preserve"> </w:t>
      </w:r>
      <w:r w:rsidRPr="00A37BB8">
        <w:rPr>
          <w:rFonts w:eastAsia="Times New Roman" w:cstheme="minorHAnsi"/>
          <w:spacing w:val="-1"/>
          <w:sz w:val="21"/>
          <w:szCs w:val="21"/>
        </w:rPr>
        <w:t>n</w:t>
      </w:r>
      <w:r w:rsidRPr="00A37BB8">
        <w:rPr>
          <w:rFonts w:eastAsia="Times New Roman" w:cstheme="minorHAnsi"/>
          <w:sz w:val="21"/>
          <w:szCs w:val="21"/>
        </w:rPr>
        <w:t>ar</w:t>
      </w:r>
      <w:r w:rsidRPr="00A37BB8">
        <w:rPr>
          <w:rFonts w:eastAsia="Times New Roman" w:cstheme="minorHAnsi"/>
          <w:spacing w:val="-4"/>
          <w:sz w:val="21"/>
          <w:szCs w:val="21"/>
        </w:rPr>
        <w:t>r</w:t>
      </w:r>
      <w:r w:rsidRPr="00A37BB8">
        <w:rPr>
          <w:rFonts w:eastAsia="Times New Roman" w:cstheme="minorHAnsi"/>
          <w:spacing w:val="-3"/>
          <w:sz w:val="21"/>
          <w:szCs w:val="21"/>
        </w:rPr>
        <w:t>a</w:t>
      </w:r>
      <w:r w:rsidRPr="00A37BB8">
        <w:rPr>
          <w:rFonts w:eastAsia="Times New Roman" w:cstheme="minorHAnsi"/>
          <w:sz w:val="21"/>
          <w:szCs w:val="21"/>
        </w:rPr>
        <w:t>t</w:t>
      </w:r>
      <w:r w:rsidRPr="00A37BB8">
        <w:rPr>
          <w:rFonts w:eastAsia="Times New Roman" w:cstheme="minorHAnsi"/>
          <w:spacing w:val="-11"/>
          <w:sz w:val="21"/>
          <w:szCs w:val="21"/>
        </w:rPr>
        <w:t>i</w:t>
      </w:r>
      <w:r w:rsidRPr="00A37BB8">
        <w:rPr>
          <w:rFonts w:eastAsia="Times New Roman" w:cstheme="minorHAnsi"/>
          <w:spacing w:val="-5"/>
          <w:sz w:val="21"/>
          <w:szCs w:val="21"/>
        </w:rPr>
        <w:t>v</w:t>
      </w:r>
      <w:r w:rsidRPr="00A37BB8">
        <w:rPr>
          <w:rFonts w:eastAsia="Times New Roman" w:cstheme="minorHAnsi"/>
          <w:sz w:val="21"/>
          <w:szCs w:val="21"/>
        </w:rPr>
        <w:t>e</w:t>
      </w:r>
    </w:p>
    <w:p w14:paraId="6F2C8B6C" w14:textId="45A193BE" w:rsidR="00A37BB8" w:rsidRPr="00A37BB8" w:rsidRDefault="00A37BB8" w:rsidP="001274B8">
      <w:pPr>
        <w:rPr>
          <w:rFonts w:cstheme="minorHAnsi"/>
          <w:color w:val="FF40FF"/>
          <w:sz w:val="21"/>
          <w:szCs w:val="21"/>
        </w:rPr>
      </w:pPr>
    </w:p>
    <w:p w14:paraId="26D1C3E8" w14:textId="15F5E465" w:rsidR="00A37BB8" w:rsidRPr="00A37BB8" w:rsidRDefault="00A37BB8" w:rsidP="001274B8">
      <w:pPr>
        <w:rPr>
          <w:rFonts w:cstheme="minorHAnsi"/>
          <w:color w:val="FF40FF"/>
          <w:sz w:val="21"/>
          <w:szCs w:val="21"/>
        </w:rPr>
      </w:pPr>
    </w:p>
    <w:p w14:paraId="45219ECB" w14:textId="1B3F5C61" w:rsidR="00797B62" w:rsidRPr="0097282B" w:rsidRDefault="00797B62" w:rsidP="00CF1EB1">
      <w:pPr>
        <w:rPr>
          <w:rFonts w:ascii="Arial" w:eastAsia="Calibri" w:hAnsi="Arial" w:cs="Arial"/>
          <w:b/>
          <w:bCs/>
        </w:rPr>
      </w:pPr>
    </w:p>
    <w:p w14:paraId="2CCF6F12" w14:textId="77777777" w:rsidR="00CF1EB1" w:rsidRPr="00CF1EB1" w:rsidRDefault="00CF1EB1" w:rsidP="00756C13">
      <w:pPr>
        <w:widowControl w:val="0"/>
        <w:tabs>
          <w:tab w:val="left" w:pos="480"/>
        </w:tabs>
        <w:autoSpaceDE w:val="0"/>
        <w:autoSpaceDN w:val="0"/>
        <w:spacing w:before="25" w:line="254" w:lineRule="auto"/>
        <w:ind w:right="137"/>
        <w:rPr>
          <w:rFonts w:ascii="Calibri" w:eastAsia="Times New Roman" w:hAnsi="Calibri" w:cs="Calibri"/>
          <w:b/>
          <w:bCs/>
          <w:sz w:val="21"/>
          <w:szCs w:val="21"/>
        </w:rPr>
      </w:pPr>
      <w:r w:rsidRPr="00CF1EB1">
        <w:rPr>
          <w:rFonts w:ascii="Arial" w:eastAsia="Calibri" w:hAnsi="Arial" w:cs="Arial"/>
          <w:b/>
          <w:bCs/>
        </w:rPr>
        <w:t>INDICATION</w:t>
      </w:r>
    </w:p>
    <w:p w14:paraId="2CE4E2AD" w14:textId="3B6922C0" w:rsidR="00CF1EB1" w:rsidRPr="00CF1EB1" w:rsidRDefault="00CF1EB1" w:rsidP="00756C13">
      <w:pPr>
        <w:widowControl w:val="0"/>
        <w:tabs>
          <w:tab w:val="left" w:pos="480"/>
        </w:tabs>
        <w:autoSpaceDE w:val="0"/>
        <w:autoSpaceDN w:val="0"/>
        <w:spacing w:before="25" w:line="254" w:lineRule="auto"/>
        <w:ind w:right="137"/>
        <w:rPr>
          <w:rFonts w:ascii="Arial" w:eastAsia="Calibri" w:hAnsi="Arial" w:cs="Arial"/>
        </w:rPr>
      </w:pPr>
      <w:bookmarkStart w:id="0" w:name="Section_2:_Full_HCP_Indication_&amp;_ISI"/>
      <w:bookmarkEnd w:id="0"/>
      <w:r w:rsidRPr="00CF1EB1">
        <w:rPr>
          <w:rFonts w:ascii="Arial" w:eastAsia="Calibri" w:hAnsi="Arial" w:cs="Arial"/>
        </w:rPr>
        <w:t>TECELRA</w:t>
      </w:r>
      <w:r w:rsidRPr="00CF1EB1">
        <w:rPr>
          <w:rFonts w:ascii="Arial" w:eastAsia="Calibri" w:hAnsi="Arial" w:cs="Arial"/>
          <w:vertAlign w:val="superscript"/>
        </w:rPr>
        <w:t>®</w:t>
      </w:r>
      <w:r w:rsidRPr="00CF1EB1">
        <w:rPr>
          <w:rFonts w:ascii="Arial" w:eastAsia="Calibri" w:hAnsi="Arial" w:cs="Arial"/>
        </w:rPr>
        <w:t xml:space="preserve"> (afamitresgene autoleucel) is a melanoma-associated antigen A4 (MAGE-A4)-directed genetically modified autologous T-cell immunotherapy indicated for the treatment of adults with unresectable or metastatic synovial sarcoma who have received prior chemotherapy, are HLA-A*02:01P, -A*02:02P, -A*02:03P, or -A*02:06P positive and whose tumor expresses the MAGE-A4 antigen as determined by FDA-approved or cleared companion diagnostic devices.</w:t>
      </w:r>
    </w:p>
    <w:p w14:paraId="63D8D838" w14:textId="77777777" w:rsidR="00CF1EB1" w:rsidRPr="00CF1EB1" w:rsidRDefault="00CF1EB1" w:rsidP="00756C13">
      <w:pPr>
        <w:widowControl w:val="0"/>
        <w:tabs>
          <w:tab w:val="left" w:pos="480"/>
        </w:tabs>
        <w:autoSpaceDE w:val="0"/>
        <w:autoSpaceDN w:val="0"/>
        <w:spacing w:before="25" w:line="254" w:lineRule="auto"/>
        <w:ind w:right="137"/>
        <w:rPr>
          <w:rFonts w:ascii="Arial" w:eastAsia="Calibri" w:hAnsi="Arial" w:cs="Arial"/>
        </w:rPr>
      </w:pPr>
    </w:p>
    <w:p w14:paraId="10EBC03A" w14:textId="77777777" w:rsidR="00CF1EB1" w:rsidRPr="00CF1EB1" w:rsidRDefault="00CF1EB1" w:rsidP="00756C13">
      <w:pPr>
        <w:widowControl w:val="0"/>
        <w:tabs>
          <w:tab w:val="left" w:pos="480"/>
        </w:tabs>
        <w:autoSpaceDE w:val="0"/>
        <w:autoSpaceDN w:val="0"/>
        <w:spacing w:before="25" w:line="254" w:lineRule="auto"/>
        <w:ind w:right="137"/>
        <w:rPr>
          <w:rFonts w:ascii="Arial" w:eastAsia="Calibri" w:hAnsi="Arial" w:cs="Arial"/>
        </w:rPr>
      </w:pPr>
      <w:r w:rsidRPr="00CF1EB1">
        <w:rPr>
          <w:rFonts w:ascii="Arial" w:eastAsia="Calibri" w:hAnsi="Arial" w:cs="Arial"/>
        </w:rPr>
        <w:t>This indication is approved under accelerated approval based on overall response rate and durability of response. Continued approval for this indication may be contingent upon verification and description of clinical benefit in a confirmatory trial.</w:t>
      </w:r>
    </w:p>
    <w:p w14:paraId="3F3A296B" w14:textId="77777777" w:rsidR="00CF1EB1" w:rsidRPr="00CF1EB1" w:rsidRDefault="00CF1EB1" w:rsidP="00756C13">
      <w:pPr>
        <w:widowControl w:val="0"/>
        <w:tabs>
          <w:tab w:val="left" w:pos="480"/>
        </w:tabs>
        <w:autoSpaceDE w:val="0"/>
        <w:autoSpaceDN w:val="0"/>
        <w:spacing w:before="25" w:line="254" w:lineRule="auto"/>
        <w:ind w:right="137"/>
        <w:rPr>
          <w:rFonts w:ascii="Calibri" w:eastAsia="Times New Roman" w:hAnsi="Calibri" w:cs="Calibri"/>
          <w:sz w:val="21"/>
          <w:szCs w:val="21"/>
        </w:rPr>
      </w:pPr>
    </w:p>
    <w:p w14:paraId="3553B820" w14:textId="77777777" w:rsidR="00CF1EB1" w:rsidRPr="00CF1EB1" w:rsidRDefault="00CF1EB1" w:rsidP="00756C13">
      <w:pPr>
        <w:widowControl w:val="0"/>
        <w:tabs>
          <w:tab w:val="left" w:pos="480"/>
        </w:tabs>
        <w:autoSpaceDE w:val="0"/>
        <w:autoSpaceDN w:val="0"/>
        <w:spacing w:before="25" w:line="254" w:lineRule="auto"/>
        <w:ind w:right="137"/>
        <w:rPr>
          <w:rFonts w:ascii="Arial" w:eastAsia="Calibri" w:hAnsi="Arial" w:cs="Arial"/>
          <w:b/>
          <w:bCs/>
        </w:rPr>
      </w:pPr>
      <w:r w:rsidRPr="00CF1EB1">
        <w:rPr>
          <w:rFonts w:ascii="Arial" w:eastAsia="Calibri" w:hAnsi="Arial" w:cs="Arial"/>
          <w:b/>
          <w:bCs/>
        </w:rPr>
        <w:t>IMPORTANT SAFETY INFORMATION</w:t>
      </w:r>
    </w:p>
    <w:p w14:paraId="67CB7DB0" w14:textId="77777777" w:rsidR="00CF1EB1" w:rsidRPr="00CF1EB1" w:rsidRDefault="00CF1EB1" w:rsidP="00756C13">
      <w:pPr>
        <w:widowControl w:val="0"/>
        <w:tabs>
          <w:tab w:val="left" w:pos="480"/>
        </w:tabs>
        <w:autoSpaceDE w:val="0"/>
        <w:autoSpaceDN w:val="0"/>
        <w:spacing w:before="25" w:line="254" w:lineRule="auto"/>
        <w:ind w:right="137"/>
        <w:rPr>
          <w:rFonts w:ascii="Arial" w:eastAsia="Calibri" w:hAnsi="Arial" w:cs="Arial"/>
          <w:b/>
          <w:bCs/>
        </w:rPr>
      </w:pPr>
      <w:r w:rsidRPr="00CF1EB1">
        <w:rPr>
          <w:rFonts w:ascii="Arial" w:eastAsia="Calibri" w:hAnsi="Arial" w:cs="Arial"/>
          <w:b/>
          <w:bCs/>
        </w:rPr>
        <w:t>CONTRAINDICATION</w:t>
      </w:r>
      <w:r w:rsidRPr="00CF1EB1">
        <w:rPr>
          <w:rFonts w:ascii="Arial" w:eastAsia="Calibri" w:hAnsi="Arial" w:cs="Arial"/>
        </w:rPr>
        <w:t>: DO NOT use TECELRA in adults who are heterozygous or homozygous for HLA-A*02:05P.</w:t>
      </w:r>
    </w:p>
    <w:p w14:paraId="49D727FB" w14:textId="77777777" w:rsidR="00CF1EB1" w:rsidRPr="00CF1EB1" w:rsidRDefault="00CF1EB1" w:rsidP="00756C13">
      <w:pPr>
        <w:widowControl w:val="0"/>
        <w:tabs>
          <w:tab w:val="left" w:pos="480"/>
        </w:tabs>
        <w:autoSpaceDE w:val="0"/>
        <w:autoSpaceDN w:val="0"/>
        <w:spacing w:before="25" w:line="254" w:lineRule="auto"/>
        <w:ind w:right="137"/>
        <w:rPr>
          <w:rFonts w:ascii="Arial" w:eastAsia="Calibri" w:hAnsi="Arial" w:cs="Arial"/>
          <w:b/>
          <w:bCs/>
        </w:rPr>
      </w:pPr>
      <w:r w:rsidRPr="00CF1EB1">
        <w:rPr>
          <w:rFonts w:ascii="Arial" w:eastAsia="Calibri" w:hAnsi="Arial" w:cs="Arial"/>
          <w:b/>
          <w:bCs/>
        </w:rPr>
        <w:lastRenderedPageBreak/>
        <w:t>BOXED WARNING: Cytokine release syndrome (CRS), which may be severe or life-threatening, occurred in patients receiving TECELRA. At the first sign of CRS, immediately evaluate patient for hospitalization and institute treatment with supportive care. Ensure that healthcare providers administering TECELRA have immediate access to medications and resuscitative equipment to manage CRS.</w:t>
      </w:r>
    </w:p>
    <w:p w14:paraId="5E259788" w14:textId="77777777" w:rsidR="00CF1EB1" w:rsidRPr="00CF1EB1" w:rsidRDefault="00CF1EB1" w:rsidP="00756C13">
      <w:pPr>
        <w:widowControl w:val="0"/>
        <w:tabs>
          <w:tab w:val="left" w:pos="480"/>
        </w:tabs>
        <w:autoSpaceDE w:val="0"/>
        <w:autoSpaceDN w:val="0"/>
        <w:spacing w:before="25" w:line="254" w:lineRule="auto"/>
        <w:ind w:right="137"/>
        <w:rPr>
          <w:rFonts w:ascii="Calibri" w:eastAsia="Times New Roman" w:hAnsi="Calibri" w:cs="Calibri"/>
          <w:sz w:val="21"/>
          <w:szCs w:val="21"/>
        </w:rPr>
      </w:pPr>
    </w:p>
    <w:p w14:paraId="633323F5" w14:textId="77777777" w:rsidR="00CF1EB1" w:rsidRPr="00CF1EB1" w:rsidRDefault="00CF1EB1" w:rsidP="00756C13">
      <w:pPr>
        <w:widowControl w:val="0"/>
        <w:tabs>
          <w:tab w:val="left" w:pos="480"/>
        </w:tabs>
        <w:autoSpaceDE w:val="0"/>
        <w:autoSpaceDN w:val="0"/>
        <w:spacing w:before="25" w:line="254" w:lineRule="auto"/>
        <w:ind w:right="137"/>
        <w:rPr>
          <w:rFonts w:ascii="Arial" w:eastAsia="Calibri" w:hAnsi="Arial" w:cs="Arial"/>
          <w:b/>
          <w:bCs/>
        </w:rPr>
      </w:pPr>
      <w:r w:rsidRPr="00CF1EB1">
        <w:rPr>
          <w:rFonts w:ascii="Arial" w:eastAsia="Calibri" w:hAnsi="Arial" w:cs="Arial"/>
          <w:b/>
          <w:bCs/>
        </w:rPr>
        <w:t>CRS</w:t>
      </w:r>
    </w:p>
    <w:p w14:paraId="3BF748E4" w14:textId="77777777" w:rsidR="00CF1EB1" w:rsidRPr="00CF1EB1" w:rsidRDefault="00CF1EB1" w:rsidP="00756C13">
      <w:pPr>
        <w:widowControl w:val="0"/>
        <w:numPr>
          <w:ilvl w:val="0"/>
          <w:numId w:val="12"/>
        </w:numPr>
        <w:tabs>
          <w:tab w:val="left" w:pos="480"/>
        </w:tabs>
        <w:autoSpaceDE w:val="0"/>
        <w:autoSpaceDN w:val="0"/>
        <w:spacing w:before="25" w:line="254" w:lineRule="auto"/>
        <w:ind w:left="360" w:right="137"/>
        <w:rPr>
          <w:rFonts w:ascii="Arial" w:eastAsia="Calibri" w:hAnsi="Arial" w:cs="Arial"/>
        </w:rPr>
      </w:pPr>
      <w:r w:rsidRPr="00CF1EB1">
        <w:rPr>
          <w:rFonts w:ascii="Arial" w:eastAsia="Calibri" w:hAnsi="Arial" w:cs="Arial"/>
        </w:rPr>
        <w:t>CRS occurred in 75% of patients (2% Grade ≥3) with a median onset of 2 days (range: 1 to 5 days) and median resolution of 3 days (range: 1 to 14 days). CRS (including Grade 1) was managed with tocilizumab in 55% of patients who experienced CRS.</w:t>
      </w:r>
    </w:p>
    <w:p w14:paraId="18B43955" w14:textId="77777777" w:rsidR="00CF1EB1" w:rsidRPr="00CF1EB1" w:rsidRDefault="00CF1EB1" w:rsidP="00756C13">
      <w:pPr>
        <w:widowControl w:val="0"/>
        <w:numPr>
          <w:ilvl w:val="0"/>
          <w:numId w:val="12"/>
        </w:numPr>
        <w:tabs>
          <w:tab w:val="left" w:pos="480"/>
        </w:tabs>
        <w:autoSpaceDE w:val="0"/>
        <w:autoSpaceDN w:val="0"/>
        <w:spacing w:before="25" w:line="254" w:lineRule="auto"/>
        <w:ind w:left="360" w:right="137"/>
        <w:rPr>
          <w:rFonts w:ascii="Arial" w:eastAsia="Calibri" w:hAnsi="Arial" w:cs="Arial"/>
        </w:rPr>
      </w:pPr>
      <w:r w:rsidRPr="00CF1EB1">
        <w:rPr>
          <w:rFonts w:ascii="Arial" w:eastAsia="Calibri" w:hAnsi="Arial" w:cs="Arial"/>
        </w:rPr>
        <w:t>In patients who experienced CRS, the most common symptoms included fever, tachycardia, hypotension, nausea/vomiting, and headache.</w:t>
      </w:r>
    </w:p>
    <w:p w14:paraId="550837F0" w14:textId="77777777" w:rsidR="00CF1EB1" w:rsidRPr="00CF1EB1" w:rsidRDefault="00CF1EB1" w:rsidP="00756C13">
      <w:pPr>
        <w:widowControl w:val="0"/>
        <w:tabs>
          <w:tab w:val="left" w:pos="480"/>
        </w:tabs>
        <w:autoSpaceDE w:val="0"/>
        <w:autoSpaceDN w:val="0"/>
        <w:spacing w:line="254" w:lineRule="auto"/>
        <w:ind w:right="137"/>
        <w:rPr>
          <w:rFonts w:ascii="Calibri" w:eastAsia="Times New Roman" w:hAnsi="Calibri" w:cs="Calibri"/>
          <w:sz w:val="21"/>
          <w:szCs w:val="21"/>
        </w:rPr>
      </w:pPr>
    </w:p>
    <w:p w14:paraId="3756C5A9" w14:textId="77777777" w:rsidR="00CF1EB1" w:rsidRPr="00CF1EB1" w:rsidRDefault="00CF1EB1" w:rsidP="00756C13">
      <w:pPr>
        <w:widowControl w:val="0"/>
        <w:tabs>
          <w:tab w:val="left" w:pos="480"/>
        </w:tabs>
        <w:autoSpaceDE w:val="0"/>
        <w:autoSpaceDN w:val="0"/>
        <w:spacing w:before="25" w:line="254" w:lineRule="auto"/>
        <w:ind w:right="137"/>
        <w:rPr>
          <w:rFonts w:ascii="Arial" w:eastAsia="Calibri" w:hAnsi="Arial" w:cs="Arial"/>
          <w:b/>
          <w:bCs/>
        </w:rPr>
      </w:pPr>
      <w:r w:rsidRPr="00CF1EB1">
        <w:rPr>
          <w:rFonts w:ascii="Arial" w:eastAsia="Calibri" w:hAnsi="Arial" w:cs="Arial"/>
          <w:b/>
          <w:bCs/>
        </w:rPr>
        <w:t>Immune Effector Cell–associated Neurotoxicity Syndrome (ICANS)</w:t>
      </w:r>
    </w:p>
    <w:p w14:paraId="16E9A536" w14:textId="77777777" w:rsidR="00CF1EB1" w:rsidRPr="00CF1EB1" w:rsidRDefault="00CF1EB1" w:rsidP="00756C13">
      <w:pPr>
        <w:widowControl w:val="0"/>
        <w:numPr>
          <w:ilvl w:val="0"/>
          <w:numId w:val="12"/>
        </w:numPr>
        <w:tabs>
          <w:tab w:val="left" w:pos="480"/>
        </w:tabs>
        <w:autoSpaceDE w:val="0"/>
        <w:autoSpaceDN w:val="0"/>
        <w:spacing w:before="25" w:line="254" w:lineRule="auto"/>
        <w:ind w:left="360" w:right="137"/>
        <w:rPr>
          <w:rFonts w:ascii="Arial" w:eastAsia="Calibri" w:hAnsi="Arial" w:cs="Arial"/>
        </w:rPr>
      </w:pPr>
      <w:r w:rsidRPr="00CF1EB1">
        <w:rPr>
          <w:rFonts w:ascii="Arial" w:eastAsia="Calibri" w:hAnsi="Arial" w:cs="Arial"/>
        </w:rPr>
        <w:t>ICANS has been observed following administration of TECELRA. One patient (2%) had Grade 1 ICANS with a median onset of 2 days and resolution of 1 day.</w:t>
      </w:r>
    </w:p>
    <w:p w14:paraId="1C73C0AB" w14:textId="77777777" w:rsidR="00CF1EB1" w:rsidRPr="00CF1EB1" w:rsidRDefault="00CF1EB1" w:rsidP="00756C13">
      <w:pPr>
        <w:widowControl w:val="0"/>
        <w:numPr>
          <w:ilvl w:val="0"/>
          <w:numId w:val="12"/>
        </w:numPr>
        <w:tabs>
          <w:tab w:val="left" w:pos="480"/>
        </w:tabs>
        <w:autoSpaceDE w:val="0"/>
        <w:autoSpaceDN w:val="0"/>
        <w:spacing w:before="25" w:line="254" w:lineRule="auto"/>
        <w:ind w:left="360" w:right="137"/>
        <w:rPr>
          <w:rFonts w:ascii="Arial" w:eastAsia="Calibri" w:hAnsi="Arial" w:cs="Arial"/>
        </w:rPr>
      </w:pPr>
      <w:r w:rsidRPr="00CF1EB1">
        <w:rPr>
          <w:rFonts w:ascii="Arial" w:eastAsia="Calibri" w:hAnsi="Arial" w:cs="Arial"/>
        </w:rPr>
        <w:t>ICANS symptoms can include mental status changes, disorientation to time and place, drowsiness, inattention, altered level of consciousness, seizures, cerebral edema, impairment of cognitive skills, progressive aphasia, and motor weakness.</w:t>
      </w:r>
    </w:p>
    <w:p w14:paraId="1FB30E81" w14:textId="77777777" w:rsidR="00CF1EB1" w:rsidRPr="00CF1EB1" w:rsidRDefault="00CF1EB1" w:rsidP="00756C13">
      <w:pPr>
        <w:widowControl w:val="0"/>
        <w:numPr>
          <w:ilvl w:val="0"/>
          <w:numId w:val="12"/>
        </w:numPr>
        <w:tabs>
          <w:tab w:val="left" w:pos="480"/>
        </w:tabs>
        <w:autoSpaceDE w:val="0"/>
        <w:autoSpaceDN w:val="0"/>
        <w:spacing w:before="25" w:line="254" w:lineRule="auto"/>
        <w:ind w:left="360" w:right="137"/>
        <w:rPr>
          <w:rFonts w:ascii="Arial" w:eastAsia="Calibri" w:hAnsi="Arial" w:cs="Arial"/>
        </w:rPr>
      </w:pPr>
      <w:r w:rsidRPr="00CF1EB1">
        <w:rPr>
          <w:rFonts w:ascii="Arial" w:eastAsia="Calibri" w:hAnsi="Arial" w:cs="Arial"/>
        </w:rPr>
        <w:t>Advise patients to refrain from driving and engaging in hazardous occupations or activities, such as operating heavy machinery or potentially dangerous machinery for 4 weeks following infusion due to the potential for neurologic events, including dizziness and presyncope.</w:t>
      </w:r>
    </w:p>
    <w:p w14:paraId="33402F0D" w14:textId="77777777" w:rsidR="00CF1EB1" w:rsidRPr="00CF1EB1" w:rsidRDefault="00CF1EB1" w:rsidP="00CF1EB1">
      <w:pPr>
        <w:widowControl w:val="0"/>
        <w:tabs>
          <w:tab w:val="left" w:pos="480"/>
        </w:tabs>
        <w:autoSpaceDE w:val="0"/>
        <w:autoSpaceDN w:val="0"/>
        <w:spacing w:before="25" w:line="254" w:lineRule="auto"/>
        <w:ind w:left="480" w:right="137"/>
        <w:rPr>
          <w:rFonts w:ascii="Calibri" w:eastAsia="Times New Roman" w:hAnsi="Calibri" w:cs="Calibri"/>
          <w:sz w:val="21"/>
          <w:szCs w:val="21"/>
        </w:rPr>
      </w:pPr>
    </w:p>
    <w:p w14:paraId="4059C470" w14:textId="77777777" w:rsidR="00CF1EB1" w:rsidRPr="00CF1EB1" w:rsidRDefault="00CF1EB1" w:rsidP="00756C13">
      <w:pPr>
        <w:widowControl w:val="0"/>
        <w:tabs>
          <w:tab w:val="left" w:pos="480"/>
        </w:tabs>
        <w:autoSpaceDE w:val="0"/>
        <w:autoSpaceDN w:val="0"/>
        <w:spacing w:before="25" w:line="254" w:lineRule="auto"/>
        <w:ind w:right="137"/>
        <w:rPr>
          <w:rFonts w:ascii="Arial" w:eastAsia="Calibri" w:hAnsi="Arial" w:cs="Arial"/>
          <w:b/>
          <w:bCs/>
        </w:rPr>
      </w:pPr>
      <w:r w:rsidRPr="00CF1EB1">
        <w:rPr>
          <w:rFonts w:ascii="Arial" w:eastAsia="Calibri" w:hAnsi="Arial" w:cs="Arial"/>
          <w:b/>
          <w:bCs/>
        </w:rPr>
        <w:t>Monitoring for CRS and ICANS During and Following TECELRA Infusion</w:t>
      </w:r>
    </w:p>
    <w:p w14:paraId="4ED1D7CD" w14:textId="77777777" w:rsidR="00CF1EB1" w:rsidRPr="00CF1EB1" w:rsidRDefault="00CF1EB1" w:rsidP="00756C13">
      <w:pPr>
        <w:widowControl w:val="0"/>
        <w:numPr>
          <w:ilvl w:val="0"/>
          <w:numId w:val="12"/>
        </w:numPr>
        <w:tabs>
          <w:tab w:val="left" w:pos="480"/>
        </w:tabs>
        <w:autoSpaceDE w:val="0"/>
        <w:autoSpaceDN w:val="0"/>
        <w:spacing w:before="25" w:line="254" w:lineRule="auto"/>
        <w:ind w:left="360" w:right="137"/>
        <w:rPr>
          <w:rFonts w:ascii="Arial" w:eastAsia="Calibri" w:hAnsi="Arial" w:cs="Arial"/>
        </w:rPr>
      </w:pPr>
      <w:r w:rsidRPr="00CF1EB1">
        <w:rPr>
          <w:rFonts w:ascii="Arial" w:eastAsia="Calibri" w:hAnsi="Arial" w:cs="Arial"/>
        </w:rPr>
        <w:t>Ensure that healthcare providers administering TECELRA have immediate access to medications and resuscitative equipment to manage CRS and ICANS. Ensure patients are euvolemic prior to initiating TECELRA.</w:t>
      </w:r>
    </w:p>
    <w:p w14:paraId="6350A884" w14:textId="77777777" w:rsidR="00CF1EB1" w:rsidRPr="00CF1EB1" w:rsidRDefault="00CF1EB1" w:rsidP="00756C13">
      <w:pPr>
        <w:widowControl w:val="0"/>
        <w:numPr>
          <w:ilvl w:val="0"/>
          <w:numId w:val="12"/>
        </w:numPr>
        <w:tabs>
          <w:tab w:val="left" w:pos="480"/>
        </w:tabs>
        <w:autoSpaceDE w:val="0"/>
        <w:autoSpaceDN w:val="0"/>
        <w:spacing w:before="25" w:line="254" w:lineRule="auto"/>
        <w:ind w:left="360" w:right="137"/>
        <w:rPr>
          <w:rFonts w:ascii="Arial" w:eastAsia="Calibri" w:hAnsi="Arial" w:cs="Arial"/>
        </w:rPr>
      </w:pPr>
      <w:r w:rsidRPr="00CF1EB1">
        <w:rPr>
          <w:rFonts w:ascii="Arial" w:eastAsia="Calibri" w:hAnsi="Arial" w:cs="Arial"/>
        </w:rPr>
        <w:t>During and following TECELRA administration, closely monitor patients for signs and symptoms of CRS and ICANS. Following treatment with TECELRA, monitor patients for at least 7 days at the healthcare facility. Continue to monitor patients for at least 4 weeks following treatment with TECELRA. Counsel patients to seek medical attention should signs or symptoms of CRS or ICANS occur.</w:t>
      </w:r>
    </w:p>
    <w:p w14:paraId="285DB003" w14:textId="77777777" w:rsidR="00CF1EB1" w:rsidRPr="00CF1EB1" w:rsidRDefault="00CF1EB1" w:rsidP="00756C13">
      <w:pPr>
        <w:widowControl w:val="0"/>
        <w:numPr>
          <w:ilvl w:val="0"/>
          <w:numId w:val="12"/>
        </w:numPr>
        <w:tabs>
          <w:tab w:val="left" w:pos="480"/>
        </w:tabs>
        <w:autoSpaceDE w:val="0"/>
        <w:autoSpaceDN w:val="0"/>
        <w:spacing w:before="25" w:line="254" w:lineRule="auto"/>
        <w:ind w:left="360" w:right="137"/>
        <w:rPr>
          <w:rFonts w:ascii="Arial" w:eastAsia="Calibri" w:hAnsi="Arial" w:cs="Arial"/>
        </w:rPr>
      </w:pPr>
      <w:r w:rsidRPr="00CF1EB1">
        <w:rPr>
          <w:rFonts w:ascii="Arial" w:eastAsia="Calibri" w:hAnsi="Arial" w:cs="Arial"/>
        </w:rPr>
        <w:t>At the first sign of CRS or ICANS, immediately evaluate patients for hospitalization and administer supportive care based on severity and consider further management per clinical practice guidelines.</w:t>
      </w:r>
    </w:p>
    <w:p w14:paraId="2D3637AF" w14:textId="77777777" w:rsidR="00CF1EB1" w:rsidRPr="00CF1EB1" w:rsidRDefault="00CF1EB1" w:rsidP="00756C13">
      <w:pPr>
        <w:widowControl w:val="0"/>
        <w:tabs>
          <w:tab w:val="left" w:pos="480"/>
        </w:tabs>
        <w:autoSpaceDE w:val="0"/>
        <w:autoSpaceDN w:val="0"/>
        <w:spacing w:before="25" w:line="254" w:lineRule="auto"/>
        <w:ind w:right="137"/>
        <w:rPr>
          <w:rFonts w:ascii="Calibri" w:eastAsia="Times New Roman" w:hAnsi="Calibri" w:cs="Calibri"/>
          <w:sz w:val="21"/>
          <w:szCs w:val="21"/>
        </w:rPr>
      </w:pPr>
    </w:p>
    <w:p w14:paraId="14031130" w14:textId="77777777" w:rsidR="00CF1EB1" w:rsidRPr="00CF1EB1" w:rsidRDefault="00CF1EB1" w:rsidP="00756C13">
      <w:pPr>
        <w:widowControl w:val="0"/>
        <w:tabs>
          <w:tab w:val="left" w:pos="480"/>
        </w:tabs>
        <w:autoSpaceDE w:val="0"/>
        <w:autoSpaceDN w:val="0"/>
        <w:spacing w:before="25" w:line="254" w:lineRule="auto"/>
        <w:ind w:right="137"/>
        <w:rPr>
          <w:rFonts w:ascii="Arial" w:eastAsia="Calibri" w:hAnsi="Arial" w:cs="Arial"/>
          <w:b/>
          <w:bCs/>
        </w:rPr>
      </w:pPr>
      <w:r w:rsidRPr="00CF1EB1">
        <w:rPr>
          <w:rFonts w:ascii="Arial" w:eastAsia="Calibri" w:hAnsi="Arial" w:cs="Arial"/>
          <w:b/>
          <w:bCs/>
        </w:rPr>
        <w:t>Prolonged Severe Cytopenia</w:t>
      </w:r>
    </w:p>
    <w:p w14:paraId="54B72565" w14:textId="77777777" w:rsidR="00CF1EB1" w:rsidRPr="00CF1EB1" w:rsidRDefault="00CF1EB1" w:rsidP="00756C13">
      <w:pPr>
        <w:widowControl w:val="0"/>
        <w:numPr>
          <w:ilvl w:val="0"/>
          <w:numId w:val="12"/>
        </w:numPr>
        <w:tabs>
          <w:tab w:val="left" w:pos="480"/>
        </w:tabs>
        <w:autoSpaceDE w:val="0"/>
        <w:autoSpaceDN w:val="0"/>
        <w:spacing w:before="25" w:line="254" w:lineRule="auto"/>
        <w:ind w:left="360" w:right="137"/>
        <w:rPr>
          <w:rFonts w:ascii="Arial" w:eastAsia="Calibri" w:hAnsi="Arial" w:cs="Arial"/>
        </w:rPr>
      </w:pPr>
      <w:r w:rsidRPr="00CF1EB1">
        <w:rPr>
          <w:rFonts w:ascii="Arial" w:eastAsia="Calibri" w:hAnsi="Arial" w:cs="Arial"/>
        </w:rPr>
        <w:t>Anemia, neutropenia, and/or thrombocytopenia can occur for several weeks following lymphodepleting chemotherapy and TECELRA infusion. Patients with Grade ≥3 cytopenia not resolved by week 4 included anemia (9%), neutropenia (11%), and thrombocytopenia (5%). The median time to resolution was 7.3 weeks (range: 6.1 to 8.4 weeks) for anemia, 9.3 weeks (range: 6.4 to 12.3 weeks) for neutropenia, and 6.3 weeks (range: 6.1 to 6.4 weeks) for thrombocytopenia.</w:t>
      </w:r>
    </w:p>
    <w:p w14:paraId="11226E0F" w14:textId="77777777" w:rsidR="00CF1EB1" w:rsidRPr="00CF1EB1" w:rsidRDefault="00CF1EB1" w:rsidP="00756C13">
      <w:pPr>
        <w:widowControl w:val="0"/>
        <w:numPr>
          <w:ilvl w:val="0"/>
          <w:numId w:val="12"/>
        </w:numPr>
        <w:tabs>
          <w:tab w:val="left" w:pos="480"/>
        </w:tabs>
        <w:autoSpaceDE w:val="0"/>
        <w:autoSpaceDN w:val="0"/>
        <w:spacing w:before="25" w:line="254" w:lineRule="auto"/>
        <w:ind w:left="360" w:right="137"/>
        <w:rPr>
          <w:rFonts w:ascii="Arial" w:eastAsia="Calibri" w:hAnsi="Arial" w:cs="Arial"/>
        </w:rPr>
      </w:pPr>
      <w:r w:rsidRPr="00CF1EB1">
        <w:rPr>
          <w:rFonts w:ascii="Arial" w:eastAsia="Calibri" w:hAnsi="Arial" w:cs="Arial"/>
        </w:rPr>
        <w:t>Monitor blood counts after TECELRA infusion. Manage cytopenia with growth factor and blood product transfusion according to clinical practice guidelines.</w:t>
      </w:r>
    </w:p>
    <w:p w14:paraId="471E15D5" w14:textId="77777777" w:rsidR="00CF1EB1" w:rsidRDefault="00CF1EB1" w:rsidP="00CF1EB1">
      <w:pPr>
        <w:pStyle w:val="ListParagraph"/>
        <w:tabs>
          <w:tab w:val="left" w:pos="480"/>
        </w:tabs>
        <w:spacing w:line="254" w:lineRule="auto"/>
        <w:ind w:left="480" w:right="137"/>
        <w:rPr>
          <w:rFonts w:ascii="Arial" w:eastAsia="Calibri" w:hAnsi="Arial" w:cs="Arial"/>
          <w:b/>
          <w:bCs/>
        </w:rPr>
      </w:pPr>
    </w:p>
    <w:p w14:paraId="3E91D536" w14:textId="77777777" w:rsidR="00756C13" w:rsidRDefault="00756C13" w:rsidP="00CF1EB1">
      <w:pPr>
        <w:pStyle w:val="ListParagraph"/>
        <w:tabs>
          <w:tab w:val="left" w:pos="480"/>
        </w:tabs>
        <w:spacing w:line="254" w:lineRule="auto"/>
        <w:ind w:left="480" w:right="137"/>
        <w:rPr>
          <w:rFonts w:ascii="Arial" w:eastAsia="Calibri" w:hAnsi="Arial" w:cs="Arial"/>
          <w:b/>
          <w:bCs/>
        </w:rPr>
      </w:pPr>
    </w:p>
    <w:p w14:paraId="798215F6" w14:textId="7E1674F5" w:rsidR="00CF1EB1" w:rsidRPr="00563746" w:rsidRDefault="00CF1EB1" w:rsidP="00756C13">
      <w:pPr>
        <w:pStyle w:val="ListParagraph"/>
        <w:tabs>
          <w:tab w:val="left" w:pos="480"/>
        </w:tabs>
        <w:spacing w:line="254" w:lineRule="auto"/>
        <w:ind w:left="0" w:right="137"/>
        <w:rPr>
          <w:rFonts w:ascii="Arial" w:eastAsia="Calibri" w:hAnsi="Arial" w:cs="Arial"/>
          <w:b/>
          <w:bCs/>
        </w:rPr>
      </w:pPr>
      <w:r w:rsidRPr="00563746">
        <w:rPr>
          <w:rFonts w:ascii="Arial" w:eastAsia="Calibri" w:hAnsi="Arial" w:cs="Arial"/>
          <w:b/>
          <w:bCs/>
        </w:rPr>
        <w:lastRenderedPageBreak/>
        <w:t>Infections</w:t>
      </w:r>
    </w:p>
    <w:p w14:paraId="0E91676C" w14:textId="77777777" w:rsidR="00CF1EB1" w:rsidRPr="001E0E30" w:rsidRDefault="00CF1EB1" w:rsidP="00756C13">
      <w:pPr>
        <w:pStyle w:val="ListParagraph"/>
        <w:widowControl w:val="0"/>
        <w:numPr>
          <w:ilvl w:val="0"/>
          <w:numId w:val="12"/>
        </w:numPr>
        <w:tabs>
          <w:tab w:val="left" w:pos="480"/>
        </w:tabs>
        <w:autoSpaceDE w:val="0"/>
        <w:autoSpaceDN w:val="0"/>
        <w:spacing w:before="25" w:line="254" w:lineRule="auto"/>
        <w:ind w:left="360" w:right="137"/>
        <w:contextualSpacing w:val="0"/>
        <w:rPr>
          <w:rFonts w:ascii="Arial" w:eastAsia="Calibri" w:hAnsi="Arial" w:cs="Arial"/>
        </w:rPr>
      </w:pPr>
      <w:r w:rsidRPr="001E0E30">
        <w:rPr>
          <w:rFonts w:ascii="Arial" w:eastAsia="Calibri" w:hAnsi="Arial" w:cs="Arial"/>
        </w:rPr>
        <w:t>Infections may occur following lymphodepleting chemotherapy and TECELRA infusion and occurred in 32% of patients (14% Grade 3).</w:t>
      </w:r>
    </w:p>
    <w:p w14:paraId="7B3940D2" w14:textId="77777777" w:rsidR="00CF1EB1" w:rsidRPr="001E0E30" w:rsidRDefault="00CF1EB1" w:rsidP="00756C13">
      <w:pPr>
        <w:pStyle w:val="ListParagraph"/>
        <w:widowControl w:val="0"/>
        <w:numPr>
          <w:ilvl w:val="0"/>
          <w:numId w:val="12"/>
        </w:numPr>
        <w:tabs>
          <w:tab w:val="left" w:pos="479"/>
        </w:tabs>
        <w:autoSpaceDE w:val="0"/>
        <w:autoSpaceDN w:val="0"/>
        <w:spacing w:before="25" w:line="254" w:lineRule="auto"/>
        <w:ind w:left="360" w:right="137"/>
        <w:contextualSpacing w:val="0"/>
        <w:rPr>
          <w:rFonts w:ascii="Arial" w:eastAsia="Calibri" w:hAnsi="Arial" w:cs="Arial"/>
        </w:rPr>
      </w:pPr>
      <w:r w:rsidRPr="001E0E30">
        <w:rPr>
          <w:rFonts w:ascii="Arial" w:eastAsia="Calibri" w:hAnsi="Arial" w:cs="Arial"/>
        </w:rPr>
        <w:t>Do not administer TECELRA to patients with active infections and/or inflammatory disorders.</w:t>
      </w:r>
    </w:p>
    <w:p w14:paraId="5E78A708" w14:textId="77777777" w:rsidR="00CF1EB1" w:rsidRPr="001E0E30" w:rsidRDefault="00CF1EB1" w:rsidP="00756C13">
      <w:pPr>
        <w:pStyle w:val="ListParagraph"/>
        <w:widowControl w:val="0"/>
        <w:numPr>
          <w:ilvl w:val="0"/>
          <w:numId w:val="12"/>
        </w:numPr>
        <w:tabs>
          <w:tab w:val="left" w:pos="479"/>
        </w:tabs>
        <w:autoSpaceDE w:val="0"/>
        <w:autoSpaceDN w:val="0"/>
        <w:spacing w:before="25" w:line="254" w:lineRule="auto"/>
        <w:ind w:left="360" w:right="137"/>
        <w:contextualSpacing w:val="0"/>
        <w:rPr>
          <w:rFonts w:ascii="Arial" w:eastAsia="Calibri" w:hAnsi="Arial" w:cs="Arial"/>
        </w:rPr>
      </w:pPr>
      <w:r w:rsidRPr="001E0E30">
        <w:rPr>
          <w:rFonts w:ascii="Arial" w:eastAsia="Calibri" w:hAnsi="Arial" w:cs="Arial"/>
        </w:rPr>
        <w:t>Monitor patients for signs and symptoms of infection before and after TECELRA infusion and treat patients appropriately.</w:t>
      </w:r>
    </w:p>
    <w:p w14:paraId="55ACC9BA" w14:textId="77777777" w:rsidR="00CF1EB1" w:rsidRPr="001E0E30" w:rsidRDefault="00CF1EB1" w:rsidP="00756C13">
      <w:pPr>
        <w:pStyle w:val="ListParagraph"/>
        <w:widowControl w:val="0"/>
        <w:numPr>
          <w:ilvl w:val="0"/>
          <w:numId w:val="12"/>
        </w:numPr>
        <w:tabs>
          <w:tab w:val="left" w:pos="480"/>
        </w:tabs>
        <w:autoSpaceDE w:val="0"/>
        <w:autoSpaceDN w:val="0"/>
        <w:spacing w:before="25" w:line="254" w:lineRule="auto"/>
        <w:ind w:left="360" w:right="137"/>
        <w:contextualSpacing w:val="0"/>
        <w:rPr>
          <w:rFonts w:ascii="Arial" w:eastAsia="Calibri" w:hAnsi="Arial" w:cs="Arial"/>
        </w:rPr>
      </w:pPr>
      <w:r w:rsidRPr="001E0E30">
        <w:rPr>
          <w:rFonts w:ascii="Arial" w:eastAsia="Calibri" w:hAnsi="Arial" w:cs="Arial"/>
        </w:rPr>
        <w:t>Febrile neutropenia was observed in patients after TECELRA infusion and may be concurrent with CRS. In the event of febrile neutropenia, evaluate for infection and manage with broad-spectrum antibiotics, fluids, and other supportive care, as medically indicated.</w:t>
      </w:r>
    </w:p>
    <w:p w14:paraId="60C3CD05" w14:textId="77777777" w:rsidR="00CF1EB1" w:rsidRPr="001E0E30" w:rsidRDefault="00CF1EB1" w:rsidP="00756C13">
      <w:pPr>
        <w:pStyle w:val="ListParagraph"/>
        <w:widowControl w:val="0"/>
        <w:numPr>
          <w:ilvl w:val="0"/>
          <w:numId w:val="12"/>
        </w:numPr>
        <w:tabs>
          <w:tab w:val="left" w:pos="480"/>
        </w:tabs>
        <w:autoSpaceDE w:val="0"/>
        <w:autoSpaceDN w:val="0"/>
        <w:spacing w:before="25" w:line="254" w:lineRule="auto"/>
        <w:ind w:left="360" w:right="137"/>
        <w:contextualSpacing w:val="0"/>
        <w:rPr>
          <w:rFonts w:ascii="Arial" w:eastAsia="Calibri" w:hAnsi="Arial" w:cs="Arial"/>
        </w:rPr>
      </w:pPr>
      <w:r w:rsidRPr="001E0E30">
        <w:rPr>
          <w:rFonts w:ascii="Arial" w:eastAsia="Calibri" w:hAnsi="Arial" w:cs="Arial"/>
        </w:rPr>
        <w:t>Viral reactivation has occurred in patients following TECELRA. Perform screening for Epstein-Barr virus, cytomegalovirus, hepatitis B virus, hepatitis C virus, and human immunodeficiency virus (HIV) or any other infectious agents if clinically indicated. Consider antiviral therapy to prevent viral reactivation per local guidelines.</w:t>
      </w:r>
    </w:p>
    <w:p w14:paraId="529D1A99" w14:textId="77777777" w:rsidR="00CF1EB1" w:rsidRPr="002369E5" w:rsidRDefault="00CF1EB1" w:rsidP="00CF1EB1">
      <w:pPr>
        <w:pStyle w:val="ListParagraph"/>
        <w:tabs>
          <w:tab w:val="left" w:pos="480"/>
        </w:tabs>
        <w:spacing w:line="254" w:lineRule="auto"/>
        <w:ind w:left="480" w:right="137"/>
        <w:rPr>
          <w:rFonts w:ascii="Calibri" w:eastAsia="Times New Roman" w:hAnsi="Calibri" w:cs="Calibri"/>
          <w:sz w:val="21"/>
          <w:szCs w:val="21"/>
        </w:rPr>
      </w:pPr>
    </w:p>
    <w:p w14:paraId="70123AFE" w14:textId="77777777" w:rsidR="00CF1EB1" w:rsidRPr="00563746" w:rsidRDefault="00CF1EB1" w:rsidP="00E4099F">
      <w:pPr>
        <w:pStyle w:val="ListParagraph"/>
        <w:tabs>
          <w:tab w:val="left" w:pos="480"/>
        </w:tabs>
        <w:spacing w:line="254" w:lineRule="auto"/>
        <w:ind w:left="0" w:right="137"/>
        <w:rPr>
          <w:rFonts w:ascii="Arial" w:eastAsia="Calibri" w:hAnsi="Arial" w:cs="Arial"/>
          <w:b/>
          <w:bCs/>
        </w:rPr>
      </w:pPr>
      <w:r w:rsidRPr="00563746">
        <w:rPr>
          <w:rFonts w:ascii="Arial" w:eastAsia="Calibri" w:hAnsi="Arial" w:cs="Arial"/>
          <w:b/>
          <w:bCs/>
        </w:rPr>
        <w:t>Secondary Malignancies</w:t>
      </w:r>
    </w:p>
    <w:p w14:paraId="066E1332" w14:textId="77777777" w:rsidR="00CF1EB1" w:rsidRPr="001E0E30" w:rsidRDefault="00CF1EB1" w:rsidP="00E4099F">
      <w:pPr>
        <w:pStyle w:val="ListParagraph"/>
        <w:widowControl w:val="0"/>
        <w:numPr>
          <w:ilvl w:val="0"/>
          <w:numId w:val="12"/>
        </w:numPr>
        <w:tabs>
          <w:tab w:val="left" w:pos="480"/>
        </w:tabs>
        <w:autoSpaceDE w:val="0"/>
        <w:autoSpaceDN w:val="0"/>
        <w:spacing w:before="25" w:line="254" w:lineRule="auto"/>
        <w:ind w:left="360" w:right="137"/>
        <w:contextualSpacing w:val="0"/>
        <w:rPr>
          <w:rFonts w:ascii="Arial" w:eastAsia="Calibri" w:hAnsi="Arial" w:cs="Arial"/>
        </w:rPr>
      </w:pPr>
      <w:r w:rsidRPr="001E0E30">
        <w:rPr>
          <w:rFonts w:ascii="Arial" w:eastAsia="Calibri" w:hAnsi="Arial" w:cs="Arial"/>
        </w:rPr>
        <w:t>Patients treated with TECELRA may develop secondary malignancies or recurrence of their cancer. Monitor for secondary malignancies.</w:t>
      </w:r>
    </w:p>
    <w:p w14:paraId="47E30E73" w14:textId="77777777" w:rsidR="00CF1EB1" w:rsidRPr="002369E5" w:rsidRDefault="00CF1EB1" w:rsidP="00CF1EB1">
      <w:pPr>
        <w:pStyle w:val="ListParagraph"/>
        <w:tabs>
          <w:tab w:val="left" w:pos="480"/>
        </w:tabs>
        <w:spacing w:line="254" w:lineRule="auto"/>
        <w:ind w:left="480" w:right="137"/>
        <w:rPr>
          <w:rFonts w:ascii="Calibri" w:eastAsia="Times New Roman" w:hAnsi="Calibri" w:cs="Calibri"/>
          <w:sz w:val="21"/>
          <w:szCs w:val="21"/>
        </w:rPr>
      </w:pPr>
    </w:p>
    <w:p w14:paraId="6CAE2ED6" w14:textId="77777777" w:rsidR="00CF1EB1" w:rsidRPr="00563746" w:rsidRDefault="00CF1EB1" w:rsidP="00E4099F">
      <w:pPr>
        <w:pStyle w:val="ListParagraph"/>
        <w:tabs>
          <w:tab w:val="left" w:pos="480"/>
        </w:tabs>
        <w:spacing w:line="254" w:lineRule="auto"/>
        <w:ind w:left="0" w:right="137"/>
        <w:rPr>
          <w:rFonts w:ascii="Arial" w:eastAsia="Calibri" w:hAnsi="Arial" w:cs="Arial"/>
          <w:b/>
          <w:bCs/>
        </w:rPr>
      </w:pPr>
      <w:r w:rsidRPr="00563746">
        <w:rPr>
          <w:rFonts w:ascii="Arial" w:eastAsia="Calibri" w:hAnsi="Arial" w:cs="Arial"/>
          <w:b/>
          <w:bCs/>
        </w:rPr>
        <w:t>Hypersensitivity Reactions</w:t>
      </w:r>
    </w:p>
    <w:p w14:paraId="7147B882" w14:textId="77777777" w:rsidR="00CF1EB1" w:rsidRPr="001E0E30" w:rsidRDefault="00CF1EB1" w:rsidP="00E4099F">
      <w:pPr>
        <w:pStyle w:val="ListParagraph"/>
        <w:widowControl w:val="0"/>
        <w:numPr>
          <w:ilvl w:val="0"/>
          <w:numId w:val="12"/>
        </w:numPr>
        <w:tabs>
          <w:tab w:val="left" w:pos="480"/>
        </w:tabs>
        <w:autoSpaceDE w:val="0"/>
        <w:autoSpaceDN w:val="0"/>
        <w:spacing w:before="25" w:line="254" w:lineRule="auto"/>
        <w:ind w:left="360" w:right="137"/>
        <w:contextualSpacing w:val="0"/>
        <w:rPr>
          <w:rFonts w:ascii="Arial" w:eastAsia="Calibri" w:hAnsi="Arial" w:cs="Arial"/>
        </w:rPr>
      </w:pPr>
      <w:r w:rsidRPr="001E0E30">
        <w:rPr>
          <w:rFonts w:ascii="Arial" w:eastAsia="Calibri" w:hAnsi="Arial" w:cs="Arial"/>
        </w:rPr>
        <w:t>Serious hypersensitivity reactions, including anaphylaxis, may occur due to dimethyl sulfoxide (DMSO) in TECELRA. Observe patients for hypersensitivity reactions during infusion.</w:t>
      </w:r>
    </w:p>
    <w:p w14:paraId="677E3B4D" w14:textId="77777777" w:rsidR="00CF1EB1" w:rsidRPr="002369E5" w:rsidRDefault="00CF1EB1" w:rsidP="00E4099F">
      <w:pPr>
        <w:pStyle w:val="ListParagraph"/>
        <w:tabs>
          <w:tab w:val="left" w:pos="480"/>
        </w:tabs>
        <w:spacing w:line="254" w:lineRule="auto"/>
        <w:ind w:left="0" w:right="137"/>
        <w:rPr>
          <w:rFonts w:ascii="Calibri" w:eastAsia="Times New Roman" w:hAnsi="Calibri" w:cs="Calibri"/>
          <w:sz w:val="21"/>
          <w:szCs w:val="21"/>
        </w:rPr>
      </w:pPr>
    </w:p>
    <w:p w14:paraId="70B5DE59" w14:textId="77777777" w:rsidR="00CF1EB1" w:rsidRPr="00563746" w:rsidRDefault="00CF1EB1" w:rsidP="00E4099F">
      <w:pPr>
        <w:pStyle w:val="ListParagraph"/>
        <w:tabs>
          <w:tab w:val="left" w:pos="480"/>
        </w:tabs>
        <w:spacing w:line="254" w:lineRule="auto"/>
        <w:ind w:left="0" w:right="137"/>
        <w:rPr>
          <w:rFonts w:ascii="Arial" w:eastAsia="Calibri" w:hAnsi="Arial" w:cs="Arial"/>
          <w:b/>
          <w:bCs/>
        </w:rPr>
      </w:pPr>
      <w:r w:rsidRPr="00563746">
        <w:rPr>
          <w:rFonts w:ascii="Arial" w:eastAsia="Calibri" w:hAnsi="Arial" w:cs="Arial"/>
          <w:b/>
          <w:bCs/>
        </w:rPr>
        <w:t>Potential for HIV Nucleic Acid Test False-Positive Results</w:t>
      </w:r>
    </w:p>
    <w:p w14:paraId="0C1FF352" w14:textId="77777777" w:rsidR="00CF1EB1" w:rsidRPr="001E0E30" w:rsidRDefault="00CF1EB1" w:rsidP="00E4099F">
      <w:pPr>
        <w:pStyle w:val="ListParagraph"/>
        <w:widowControl w:val="0"/>
        <w:numPr>
          <w:ilvl w:val="0"/>
          <w:numId w:val="12"/>
        </w:numPr>
        <w:tabs>
          <w:tab w:val="left" w:pos="480"/>
        </w:tabs>
        <w:autoSpaceDE w:val="0"/>
        <w:autoSpaceDN w:val="0"/>
        <w:spacing w:before="25" w:line="254" w:lineRule="auto"/>
        <w:ind w:left="360" w:right="137"/>
        <w:contextualSpacing w:val="0"/>
        <w:rPr>
          <w:rFonts w:ascii="Arial" w:eastAsia="Calibri" w:hAnsi="Arial" w:cs="Arial"/>
        </w:rPr>
      </w:pPr>
      <w:r w:rsidRPr="001E0E30">
        <w:rPr>
          <w:rFonts w:ascii="Arial" w:eastAsia="Calibri" w:hAnsi="Arial" w:cs="Arial"/>
        </w:rPr>
        <w:t>The lentiviral vector used to make TECELRA has limited, short spans of genetic material that are identical to HIV. Therefore, some commercial HIV nucleic acid tests may yield false-positive results in patients who have received TECELRA.</w:t>
      </w:r>
    </w:p>
    <w:p w14:paraId="40C65559" w14:textId="77777777" w:rsidR="00CF1EB1" w:rsidRPr="002369E5" w:rsidRDefault="00CF1EB1" w:rsidP="00CF1EB1">
      <w:pPr>
        <w:pStyle w:val="ListParagraph"/>
        <w:tabs>
          <w:tab w:val="left" w:pos="480"/>
        </w:tabs>
        <w:spacing w:line="254" w:lineRule="auto"/>
        <w:ind w:left="480" w:right="137"/>
        <w:rPr>
          <w:rFonts w:ascii="Calibri" w:eastAsia="Times New Roman" w:hAnsi="Calibri" w:cs="Calibri"/>
          <w:sz w:val="21"/>
          <w:szCs w:val="21"/>
        </w:rPr>
      </w:pPr>
    </w:p>
    <w:p w14:paraId="13C518E4" w14:textId="77777777" w:rsidR="00CF1EB1" w:rsidRPr="00563746" w:rsidRDefault="00CF1EB1" w:rsidP="00E4099F">
      <w:pPr>
        <w:pStyle w:val="ListParagraph"/>
        <w:tabs>
          <w:tab w:val="left" w:pos="480"/>
        </w:tabs>
        <w:spacing w:line="254" w:lineRule="auto"/>
        <w:ind w:left="0" w:right="137"/>
        <w:rPr>
          <w:rFonts w:ascii="Arial" w:eastAsia="Calibri" w:hAnsi="Arial" w:cs="Arial"/>
          <w:b/>
          <w:bCs/>
        </w:rPr>
      </w:pPr>
      <w:r w:rsidRPr="00563746">
        <w:rPr>
          <w:rFonts w:ascii="Arial" w:eastAsia="Calibri" w:hAnsi="Arial" w:cs="Arial"/>
          <w:b/>
          <w:bCs/>
        </w:rPr>
        <w:t>Adverse Reactions</w:t>
      </w:r>
    </w:p>
    <w:p w14:paraId="0B58A957" w14:textId="34962B57" w:rsidR="00CF1EB1" w:rsidRPr="001E0E30" w:rsidRDefault="00CF1EB1" w:rsidP="00E4099F">
      <w:pPr>
        <w:pStyle w:val="ListParagraph"/>
        <w:widowControl w:val="0"/>
        <w:numPr>
          <w:ilvl w:val="0"/>
          <w:numId w:val="12"/>
        </w:numPr>
        <w:tabs>
          <w:tab w:val="left" w:pos="480"/>
        </w:tabs>
        <w:autoSpaceDE w:val="0"/>
        <w:autoSpaceDN w:val="0"/>
        <w:spacing w:before="25" w:line="254" w:lineRule="auto"/>
        <w:ind w:left="360" w:right="137"/>
        <w:contextualSpacing w:val="0"/>
        <w:rPr>
          <w:rFonts w:ascii="Arial" w:eastAsia="Calibri" w:hAnsi="Arial" w:cs="Arial"/>
        </w:rPr>
      </w:pPr>
      <w:r w:rsidRPr="001E0E30">
        <w:rPr>
          <w:rFonts w:ascii="Arial" w:eastAsia="Calibri" w:hAnsi="Arial" w:cs="Arial"/>
        </w:rPr>
        <w:t xml:space="preserve">Most common adverse reactions (incidence ≥20%) </w:t>
      </w:r>
      <w:r w:rsidR="002E3992">
        <w:rPr>
          <w:rFonts w:ascii="Arial" w:eastAsia="Calibri" w:hAnsi="Arial" w:cs="Arial"/>
        </w:rPr>
        <w:t>were</w:t>
      </w:r>
      <w:r w:rsidRPr="001E0E30">
        <w:rPr>
          <w:rFonts w:ascii="Arial" w:eastAsia="Calibri" w:hAnsi="Arial" w:cs="Arial"/>
        </w:rPr>
        <w:t xml:space="preserve"> CRS, nausea, vomiting, fatigue, infections, pyrexia, constipation, dyspnea, abdominal pain, non-cardiac chest pain, decreased appetite, tachycardia, back pain, hypotension, diarrhea, and edema.</w:t>
      </w:r>
    </w:p>
    <w:p w14:paraId="63651F28" w14:textId="73A8910D" w:rsidR="00CF1EB1" w:rsidRPr="001E0E30" w:rsidRDefault="00CF1EB1" w:rsidP="00E4099F">
      <w:pPr>
        <w:pStyle w:val="ListParagraph"/>
        <w:widowControl w:val="0"/>
        <w:numPr>
          <w:ilvl w:val="0"/>
          <w:numId w:val="12"/>
        </w:numPr>
        <w:tabs>
          <w:tab w:val="left" w:pos="480"/>
        </w:tabs>
        <w:autoSpaceDE w:val="0"/>
        <w:autoSpaceDN w:val="0"/>
        <w:spacing w:before="25" w:line="254" w:lineRule="auto"/>
        <w:ind w:left="360" w:right="137"/>
        <w:contextualSpacing w:val="0"/>
        <w:rPr>
          <w:rFonts w:ascii="Arial" w:eastAsia="Calibri" w:hAnsi="Arial" w:cs="Arial"/>
        </w:rPr>
      </w:pPr>
      <w:r w:rsidRPr="001E0E30">
        <w:rPr>
          <w:rFonts w:ascii="Arial" w:eastAsia="Calibri" w:hAnsi="Arial" w:cs="Arial"/>
        </w:rPr>
        <w:t>Most common Grade 3 or 4 laboratory abnormalities (incidence ≥20%) were lymphocyte count decreased, neutrophil count decreased, white cell blood count decreased, red blood cell decreased</w:t>
      </w:r>
      <w:r w:rsidR="00D83EE3">
        <w:rPr>
          <w:rFonts w:ascii="Arial" w:eastAsia="Calibri" w:hAnsi="Arial" w:cs="Arial"/>
        </w:rPr>
        <w:t>, and platelet count decreased</w:t>
      </w:r>
      <w:r w:rsidRPr="001E0E30">
        <w:rPr>
          <w:rFonts w:ascii="Arial" w:eastAsia="Calibri" w:hAnsi="Arial" w:cs="Arial"/>
        </w:rPr>
        <w:t>.</w:t>
      </w:r>
    </w:p>
    <w:p w14:paraId="39693658" w14:textId="77777777" w:rsidR="00CF1EB1" w:rsidRPr="001E0E30" w:rsidRDefault="00CF1EB1" w:rsidP="00E4099F">
      <w:pPr>
        <w:pStyle w:val="ListParagraph"/>
        <w:widowControl w:val="0"/>
        <w:numPr>
          <w:ilvl w:val="0"/>
          <w:numId w:val="12"/>
        </w:numPr>
        <w:tabs>
          <w:tab w:val="left" w:pos="479"/>
        </w:tabs>
        <w:autoSpaceDE w:val="0"/>
        <w:autoSpaceDN w:val="0"/>
        <w:spacing w:before="25" w:line="254" w:lineRule="auto"/>
        <w:ind w:left="360" w:right="137"/>
        <w:contextualSpacing w:val="0"/>
        <w:rPr>
          <w:rFonts w:ascii="Arial" w:eastAsia="Calibri" w:hAnsi="Arial" w:cs="Arial"/>
        </w:rPr>
      </w:pPr>
      <w:r w:rsidRPr="001E0E30">
        <w:rPr>
          <w:rFonts w:ascii="Arial" w:eastAsia="Calibri" w:hAnsi="Arial" w:cs="Arial"/>
        </w:rPr>
        <w:t>Most common serious adverse reactions (≥5%) were cytokine release syndrome and pleural effusion.</w:t>
      </w:r>
    </w:p>
    <w:p w14:paraId="4FAA5355" w14:textId="77777777" w:rsidR="00797B62" w:rsidRDefault="00797B62" w:rsidP="00797B62"/>
    <w:p w14:paraId="610ADCFA" w14:textId="77777777" w:rsidR="00A37BB8" w:rsidRDefault="00A37BB8" w:rsidP="001274B8">
      <w:pPr>
        <w:rPr>
          <w:rFonts w:cstheme="minorHAnsi"/>
          <w:color w:val="FF40FF"/>
          <w:sz w:val="21"/>
          <w:szCs w:val="21"/>
        </w:rPr>
      </w:pPr>
    </w:p>
    <w:p w14:paraId="0ACAC3E0" w14:textId="73934E2C" w:rsidR="0097282B" w:rsidRPr="0056286E" w:rsidRDefault="0097282B" w:rsidP="0097282B">
      <w:pPr>
        <w:tabs>
          <w:tab w:val="left" w:pos="7418"/>
        </w:tabs>
        <w:rPr>
          <w:rFonts w:ascii="Arial" w:hAnsi="Arial" w:cs="Arial"/>
          <w:b/>
          <w:bCs/>
        </w:rPr>
      </w:pPr>
      <w:r w:rsidRPr="0056286E">
        <w:rPr>
          <w:rFonts w:ascii="Arial" w:hAnsi="Arial" w:cs="Arial"/>
          <w:b/>
          <w:bCs/>
        </w:rPr>
        <w:t xml:space="preserve">Please see full </w:t>
      </w:r>
      <w:hyperlink r:id="rId13" w:history="1">
        <w:r w:rsidRPr="009F0AE2">
          <w:rPr>
            <w:rStyle w:val="Hyperlink"/>
            <w:rFonts w:ascii="Arial" w:hAnsi="Arial" w:cs="Arial"/>
            <w:b/>
            <w:bCs/>
            <w:color w:val="7030A0"/>
          </w:rPr>
          <w:t>Prescribing Information</w:t>
        </w:r>
      </w:hyperlink>
      <w:r w:rsidRPr="0056286E">
        <w:rPr>
          <w:rFonts w:ascii="Arial" w:hAnsi="Arial" w:cs="Arial"/>
          <w:b/>
          <w:bCs/>
        </w:rPr>
        <w:t>, including Boxed Warning.</w:t>
      </w:r>
    </w:p>
    <w:p w14:paraId="14149864" w14:textId="77777777" w:rsidR="00797B62" w:rsidRDefault="00797B62" w:rsidP="001274B8">
      <w:pPr>
        <w:rPr>
          <w:rFonts w:cstheme="minorHAnsi"/>
          <w:color w:val="FF40FF"/>
          <w:sz w:val="21"/>
          <w:szCs w:val="21"/>
        </w:rPr>
      </w:pPr>
    </w:p>
    <w:p w14:paraId="6FC8A4D1" w14:textId="77777777" w:rsidR="00797B62" w:rsidRDefault="00797B62" w:rsidP="001274B8">
      <w:pPr>
        <w:rPr>
          <w:rFonts w:cstheme="minorHAnsi"/>
          <w:color w:val="FF40FF"/>
          <w:sz w:val="21"/>
          <w:szCs w:val="21"/>
        </w:rPr>
      </w:pPr>
    </w:p>
    <w:p w14:paraId="2B2813DB" w14:textId="77777777" w:rsidR="00797B62" w:rsidRDefault="00797B62" w:rsidP="001274B8">
      <w:pPr>
        <w:rPr>
          <w:rFonts w:cstheme="minorHAnsi"/>
          <w:color w:val="FF40FF"/>
          <w:sz w:val="21"/>
          <w:szCs w:val="21"/>
        </w:rPr>
      </w:pPr>
    </w:p>
    <w:p w14:paraId="56A311C1" w14:textId="6554EF2E" w:rsidR="00594C96" w:rsidRDefault="00594C96">
      <w:pPr>
        <w:rPr>
          <w:rFonts w:cstheme="minorHAnsi"/>
          <w:color w:val="FF40FF"/>
          <w:sz w:val="21"/>
          <w:szCs w:val="21"/>
        </w:rPr>
      </w:pPr>
      <w:r>
        <w:rPr>
          <w:noProof/>
        </w:rPr>
        <w:drawing>
          <wp:anchor distT="0" distB="0" distL="114300" distR="114300" simplePos="0" relativeHeight="251670528" behindDoc="0" locked="0" layoutInCell="1" allowOverlap="1" wp14:anchorId="7D395F9B" wp14:editId="6FE485DA">
            <wp:simplePos x="0" y="0"/>
            <wp:positionH relativeFrom="column">
              <wp:posOffset>4508204</wp:posOffset>
            </wp:positionH>
            <wp:positionV relativeFrom="paragraph">
              <wp:posOffset>165632</wp:posOffset>
            </wp:positionV>
            <wp:extent cx="2002006" cy="408573"/>
            <wp:effectExtent l="0" t="0" r="5080" b="0"/>
            <wp:wrapNone/>
            <wp:docPr id="1267378451"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327908" name="Picture 2" descr="A blue and white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2006" cy="408573"/>
                    </a:xfrm>
                    <a:prstGeom prst="rect">
                      <a:avLst/>
                    </a:prstGeom>
                  </pic:spPr>
                </pic:pic>
              </a:graphicData>
            </a:graphic>
            <wp14:sizeRelH relativeFrom="page">
              <wp14:pctWidth>0</wp14:pctWidth>
            </wp14:sizeRelH>
            <wp14:sizeRelV relativeFrom="page">
              <wp14:pctHeight>0</wp14:pctHeight>
            </wp14:sizeRelV>
          </wp:anchor>
        </w:drawing>
      </w:r>
    </w:p>
    <w:p w14:paraId="6AE369DB" w14:textId="4B66F9BE" w:rsidR="004D6A6D" w:rsidRDefault="00594C96" w:rsidP="001274B8">
      <w:r>
        <w:rPr>
          <w:rFonts w:ascii="Arial" w:hAnsi="Arial" w:cs="Arial"/>
          <w:color w:val="222222"/>
          <w:sz w:val="20"/>
          <w:szCs w:val="20"/>
          <w:shd w:val="clear" w:color="auto" w:fill="FFFFFF"/>
        </w:rPr>
        <w:t xml:space="preserve">© 2024 Adaptimmune. All Rights Reserved. </w:t>
      </w:r>
      <w:r w:rsidRPr="00A225D4">
        <w:t>US-</w:t>
      </w:r>
      <w:r w:rsidRPr="00594C96">
        <w:t>COM-TCL-240032</w:t>
      </w:r>
      <w:r w:rsidR="004A4BFB">
        <w:t xml:space="preserve"> 0</w:t>
      </w:r>
      <w:r w:rsidR="00882B1D">
        <w:t>8</w:t>
      </w:r>
      <w:r w:rsidR="004A4BFB">
        <w:t>/24</w:t>
      </w:r>
    </w:p>
    <w:p w14:paraId="0A80A77D" w14:textId="77777777" w:rsidR="00756C13" w:rsidRDefault="00756C13" w:rsidP="001274B8">
      <w:pPr>
        <w:rPr>
          <w:color w:val="FF40FF"/>
          <w:sz w:val="21"/>
          <w:szCs w:val="21"/>
        </w:rPr>
      </w:pPr>
    </w:p>
    <w:p w14:paraId="3E4F5A0D" w14:textId="77777777" w:rsidR="00756C13" w:rsidRDefault="00756C13" w:rsidP="001274B8">
      <w:pPr>
        <w:rPr>
          <w:color w:val="FF40FF"/>
          <w:sz w:val="21"/>
          <w:szCs w:val="21"/>
        </w:rPr>
      </w:pPr>
    </w:p>
    <w:p w14:paraId="531A3360" w14:textId="77777777" w:rsidR="00756C13" w:rsidRDefault="00756C13" w:rsidP="001274B8">
      <w:pPr>
        <w:rPr>
          <w:color w:val="FF40FF"/>
          <w:sz w:val="21"/>
          <w:szCs w:val="21"/>
        </w:rPr>
      </w:pPr>
    </w:p>
    <w:p w14:paraId="30C85F8F" w14:textId="3FF91EAA" w:rsidR="00E05B88" w:rsidRPr="00534992" w:rsidRDefault="00A70F48" w:rsidP="001274B8">
      <w:pPr>
        <w:rPr>
          <w:color w:val="CC00CC"/>
          <w:sz w:val="21"/>
          <w:szCs w:val="21"/>
        </w:rPr>
      </w:pPr>
      <w:r w:rsidRPr="00422EA2">
        <w:rPr>
          <w:color w:val="FF40FF"/>
          <w:sz w:val="21"/>
          <w:szCs w:val="21"/>
        </w:rPr>
        <w:lastRenderedPageBreak/>
        <w:t>[</w:t>
      </w:r>
      <w:r w:rsidR="00534992" w:rsidRPr="00422EA2">
        <w:rPr>
          <w:color w:val="FF40FF"/>
          <w:sz w:val="21"/>
          <w:szCs w:val="21"/>
        </w:rPr>
        <w:t>Insert Physician Letterhead</w:t>
      </w:r>
      <w:r w:rsidRPr="00422EA2">
        <w:rPr>
          <w:color w:val="FF40FF"/>
          <w:sz w:val="21"/>
          <w:szCs w:val="21"/>
        </w:rPr>
        <w:t>]</w:t>
      </w:r>
    </w:p>
    <w:p w14:paraId="5496B1D0" w14:textId="2CA0D2EC" w:rsidR="00E05B88" w:rsidRPr="00FB5CC4" w:rsidRDefault="00E05B88" w:rsidP="001274B8">
      <w:pPr>
        <w:rPr>
          <w:color w:val="000000" w:themeColor="text1"/>
          <w:sz w:val="21"/>
          <w:szCs w:val="21"/>
        </w:rPr>
      </w:pPr>
      <w:r w:rsidRPr="00FB5CC4">
        <w:rPr>
          <w:color w:val="000000" w:themeColor="text1"/>
          <w:sz w:val="21"/>
          <w:szCs w:val="21"/>
        </w:rPr>
        <w:t xml:space="preserve"> </w:t>
      </w:r>
    </w:p>
    <w:p w14:paraId="135EC7EA" w14:textId="54EECA45" w:rsidR="001274B8" w:rsidRPr="00422EA2" w:rsidRDefault="00E05B88" w:rsidP="001274B8">
      <w:pPr>
        <w:rPr>
          <w:color w:val="FF40FF"/>
          <w:sz w:val="21"/>
          <w:szCs w:val="21"/>
        </w:rPr>
      </w:pPr>
      <w:r w:rsidRPr="00422EA2">
        <w:rPr>
          <w:color w:val="FF40FF"/>
          <w:sz w:val="21"/>
          <w:szCs w:val="21"/>
        </w:rPr>
        <w:t>[</w:t>
      </w:r>
      <w:r w:rsidR="001274B8" w:rsidRPr="00422EA2">
        <w:rPr>
          <w:color w:val="FF40FF"/>
          <w:sz w:val="21"/>
          <w:szCs w:val="21"/>
        </w:rPr>
        <w:t>Date</w:t>
      </w:r>
      <w:r w:rsidRPr="00422EA2">
        <w:rPr>
          <w:color w:val="FF40FF"/>
          <w:sz w:val="21"/>
          <w:szCs w:val="21"/>
        </w:rPr>
        <w:t>]</w:t>
      </w:r>
    </w:p>
    <w:p w14:paraId="36282A16" w14:textId="5DE6E8D6" w:rsidR="001274B8" w:rsidRDefault="00453E2B" w:rsidP="001274B8">
      <w:pPr>
        <w:rPr>
          <w:sz w:val="21"/>
          <w:szCs w:val="21"/>
        </w:rPr>
      </w:pPr>
      <w:r w:rsidRPr="00FB5CC4">
        <w:rPr>
          <w:sz w:val="21"/>
          <w:szCs w:val="21"/>
        </w:rPr>
        <w:t xml:space="preserve">To </w:t>
      </w:r>
      <w:r w:rsidR="00184044">
        <w:rPr>
          <w:sz w:val="21"/>
          <w:szCs w:val="21"/>
        </w:rPr>
        <w:t>w</w:t>
      </w:r>
      <w:r w:rsidRPr="00FB5CC4">
        <w:rPr>
          <w:sz w:val="21"/>
          <w:szCs w:val="21"/>
        </w:rPr>
        <w:t xml:space="preserve">hom </w:t>
      </w:r>
      <w:r w:rsidR="00184044">
        <w:rPr>
          <w:sz w:val="21"/>
          <w:szCs w:val="21"/>
        </w:rPr>
        <w:t>i</w:t>
      </w:r>
      <w:r w:rsidRPr="00FB5CC4">
        <w:rPr>
          <w:sz w:val="21"/>
          <w:szCs w:val="21"/>
        </w:rPr>
        <w:t xml:space="preserve">t </w:t>
      </w:r>
      <w:r w:rsidR="00184044">
        <w:rPr>
          <w:sz w:val="21"/>
          <w:szCs w:val="21"/>
        </w:rPr>
        <w:t>m</w:t>
      </w:r>
      <w:r w:rsidRPr="00FB5CC4">
        <w:rPr>
          <w:sz w:val="21"/>
          <w:szCs w:val="21"/>
        </w:rPr>
        <w:t xml:space="preserve">ay </w:t>
      </w:r>
      <w:r w:rsidR="00184044">
        <w:rPr>
          <w:sz w:val="21"/>
          <w:szCs w:val="21"/>
        </w:rPr>
        <w:t>c</w:t>
      </w:r>
      <w:r w:rsidRPr="00FB5CC4">
        <w:rPr>
          <w:sz w:val="21"/>
          <w:szCs w:val="21"/>
        </w:rPr>
        <w:t>oncern</w:t>
      </w:r>
      <w:r w:rsidR="00184044">
        <w:rPr>
          <w:sz w:val="21"/>
          <w:szCs w:val="21"/>
        </w:rPr>
        <w:t>,</w:t>
      </w:r>
    </w:p>
    <w:p w14:paraId="356D3CD8" w14:textId="77777777" w:rsidR="00FB5CC4" w:rsidRPr="00FB5CC4" w:rsidRDefault="00FB5CC4" w:rsidP="001274B8">
      <w:pPr>
        <w:rPr>
          <w:sz w:val="21"/>
          <w:szCs w:val="21"/>
        </w:rPr>
      </w:pPr>
    </w:p>
    <w:tbl>
      <w:tblPr>
        <w:tblStyle w:val="TableGrid"/>
        <w:tblW w:w="0" w:type="auto"/>
        <w:tblLook w:val="04A0" w:firstRow="1" w:lastRow="0" w:firstColumn="1" w:lastColumn="0" w:noHBand="0" w:noVBand="1"/>
      </w:tblPr>
      <w:tblGrid>
        <w:gridCol w:w="3183"/>
        <w:gridCol w:w="3507"/>
      </w:tblGrid>
      <w:tr w:rsidR="00FB5CC4" w14:paraId="19AD4C31" w14:textId="77777777" w:rsidTr="00D12895">
        <w:trPr>
          <w:trHeight w:val="280"/>
        </w:trPr>
        <w:tc>
          <w:tcPr>
            <w:tcW w:w="3183" w:type="dxa"/>
          </w:tcPr>
          <w:p w14:paraId="5227F278" w14:textId="38635F4C" w:rsidR="00FB5CC4" w:rsidRPr="000F6082" w:rsidRDefault="00534992" w:rsidP="00D12895">
            <w:pPr>
              <w:pStyle w:val="BodyText"/>
              <w:spacing w:before="2"/>
              <w:ind w:left="0"/>
              <w:rPr>
                <w:b/>
                <w:bCs/>
                <w:sz w:val="20"/>
                <w:szCs w:val="20"/>
              </w:rPr>
            </w:pPr>
            <w:r>
              <w:rPr>
                <w:b/>
                <w:bCs/>
                <w:sz w:val="20"/>
                <w:szCs w:val="20"/>
              </w:rPr>
              <w:t>Member</w:t>
            </w:r>
            <w:r w:rsidR="00FB5CC4" w:rsidRPr="000F6082">
              <w:rPr>
                <w:b/>
                <w:bCs/>
                <w:sz w:val="20"/>
                <w:szCs w:val="20"/>
              </w:rPr>
              <w:t xml:space="preserve"> Name</w:t>
            </w:r>
          </w:p>
        </w:tc>
        <w:tc>
          <w:tcPr>
            <w:tcW w:w="3507" w:type="dxa"/>
          </w:tcPr>
          <w:p w14:paraId="618DD83B" w14:textId="77777777" w:rsidR="00FB5CC4" w:rsidRPr="000F6082" w:rsidRDefault="00FB5CC4" w:rsidP="00422EA2">
            <w:pPr>
              <w:rPr>
                <w:color w:val="CC01CC"/>
                <w:sz w:val="20"/>
                <w:szCs w:val="20"/>
              </w:rPr>
            </w:pPr>
            <w:r w:rsidRPr="00422EA2">
              <w:rPr>
                <w:color w:val="FF40FF"/>
                <w:sz w:val="21"/>
                <w:szCs w:val="21"/>
              </w:rPr>
              <w:t>[Patient name]</w:t>
            </w:r>
          </w:p>
        </w:tc>
      </w:tr>
      <w:tr w:rsidR="00FB5CC4" w14:paraId="6C69B874" w14:textId="77777777" w:rsidTr="00D12895">
        <w:trPr>
          <w:trHeight w:val="280"/>
        </w:trPr>
        <w:tc>
          <w:tcPr>
            <w:tcW w:w="3183" w:type="dxa"/>
          </w:tcPr>
          <w:p w14:paraId="2850B7D6" w14:textId="77777777" w:rsidR="00FB5CC4" w:rsidRPr="000F6082" w:rsidRDefault="00FB5CC4" w:rsidP="00D12895">
            <w:pPr>
              <w:pStyle w:val="BodyText"/>
              <w:spacing w:before="2"/>
              <w:ind w:left="0"/>
              <w:rPr>
                <w:b/>
                <w:bCs/>
                <w:sz w:val="20"/>
                <w:szCs w:val="20"/>
              </w:rPr>
            </w:pPr>
            <w:r w:rsidRPr="000F6082">
              <w:rPr>
                <w:b/>
                <w:bCs/>
                <w:sz w:val="20"/>
                <w:szCs w:val="20"/>
              </w:rPr>
              <w:t>Date of Birth</w:t>
            </w:r>
          </w:p>
        </w:tc>
        <w:tc>
          <w:tcPr>
            <w:tcW w:w="3507" w:type="dxa"/>
          </w:tcPr>
          <w:p w14:paraId="3BA963E2" w14:textId="77777777" w:rsidR="00FB5CC4" w:rsidRPr="00422EA2" w:rsidRDefault="00FB5CC4" w:rsidP="00422EA2">
            <w:pPr>
              <w:rPr>
                <w:color w:val="FF40FF"/>
                <w:sz w:val="21"/>
                <w:szCs w:val="21"/>
              </w:rPr>
            </w:pPr>
            <w:r w:rsidRPr="00422EA2">
              <w:rPr>
                <w:color w:val="FF40FF"/>
                <w:sz w:val="21"/>
                <w:szCs w:val="21"/>
              </w:rPr>
              <w:t>[Patient date of birth]</w:t>
            </w:r>
          </w:p>
        </w:tc>
      </w:tr>
      <w:tr w:rsidR="00FB5CC4" w14:paraId="246B97EE" w14:textId="77777777" w:rsidTr="00D12895">
        <w:trPr>
          <w:trHeight w:val="316"/>
        </w:trPr>
        <w:tc>
          <w:tcPr>
            <w:tcW w:w="3183" w:type="dxa"/>
          </w:tcPr>
          <w:p w14:paraId="2ED634CD" w14:textId="00149AC0" w:rsidR="00FB5CC4" w:rsidRPr="000F6082" w:rsidRDefault="00534992" w:rsidP="00D12895">
            <w:pPr>
              <w:pStyle w:val="BodyText"/>
              <w:spacing w:before="2"/>
              <w:ind w:left="0"/>
              <w:rPr>
                <w:b/>
                <w:bCs/>
                <w:sz w:val="20"/>
                <w:szCs w:val="20"/>
              </w:rPr>
            </w:pPr>
            <w:r>
              <w:rPr>
                <w:b/>
                <w:bCs/>
                <w:sz w:val="20"/>
                <w:szCs w:val="20"/>
              </w:rPr>
              <w:t xml:space="preserve">Member ID </w:t>
            </w:r>
            <w:r w:rsidR="00FB5CC4" w:rsidRPr="000F6082">
              <w:rPr>
                <w:b/>
                <w:bCs/>
                <w:sz w:val="20"/>
                <w:szCs w:val="20"/>
              </w:rPr>
              <w:t>Number</w:t>
            </w:r>
          </w:p>
        </w:tc>
        <w:tc>
          <w:tcPr>
            <w:tcW w:w="3507" w:type="dxa"/>
          </w:tcPr>
          <w:p w14:paraId="6AB45D49" w14:textId="376532C1" w:rsidR="00FB5CC4" w:rsidRPr="00422EA2" w:rsidRDefault="00FB5CC4" w:rsidP="00422EA2">
            <w:pPr>
              <w:rPr>
                <w:color w:val="FF40FF"/>
                <w:sz w:val="21"/>
                <w:szCs w:val="21"/>
              </w:rPr>
            </w:pPr>
            <w:r w:rsidRPr="00422EA2">
              <w:rPr>
                <w:color w:val="FF40FF"/>
                <w:sz w:val="21"/>
                <w:szCs w:val="21"/>
              </w:rPr>
              <w:t>[</w:t>
            </w:r>
            <w:r w:rsidR="00977BCE">
              <w:rPr>
                <w:color w:val="FF40FF"/>
                <w:sz w:val="21"/>
                <w:szCs w:val="21"/>
              </w:rPr>
              <w:t xml:space="preserve">Member </w:t>
            </w:r>
            <w:r w:rsidR="00534992" w:rsidRPr="00422EA2">
              <w:rPr>
                <w:color w:val="FF40FF"/>
                <w:sz w:val="21"/>
                <w:szCs w:val="21"/>
              </w:rPr>
              <w:t xml:space="preserve">ID </w:t>
            </w:r>
            <w:r w:rsidRPr="00422EA2">
              <w:rPr>
                <w:color w:val="FF40FF"/>
                <w:sz w:val="21"/>
                <w:szCs w:val="21"/>
              </w:rPr>
              <w:t>number]</w:t>
            </w:r>
          </w:p>
        </w:tc>
      </w:tr>
      <w:tr w:rsidR="00534992" w14:paraId="683DBB31" w14:textId="77777777" w:rsidTr="00D12895">
        <w:trPr>
          <w:trHeight w:val="316"/>
        </w:trPr>
        <w:tc>
          <w:tcPr>
            <w:tcW w:w="3183" w:type="dxa"/>
          </w:tcPr>
          <w:p w14:paraId="7FCD6336" w14:textId="3C999319" w:rsidR="00534992" w:rsidRPr="000F6082" w:rsidRDefault="00534992" w:rsidP="00534992">
            <w:pPr>
              <w:pStyle w:val="BodyText"/>
              <w:spacing w:before="2"/>
              <w:ind w:left="0"/>
              <w:rPr>
                <w:b/>
                <w:bCs/>
                <w:sz w:val="20"/>
                <w:szCs w:val="20"/>
              </w:rPr>
            </w:pPr>
            <w:r w:rsidRPr="00534992">
              <w:rPr>
                <w:b/>
                <w:bCs/>
                <w:sz w:val="20"/>
                <w:szCs w:val="20"/>
              </w:rPr>
              <w:t>Member Group</w:t>
            </w:r>
            <w:r w:rsidR="00184044">
              <w:rPr>
                <w:b/>
                <w:bCs/>
                <w:sz w:val="20"/>
                <w:szCs w:val="20"/>
              </w:rPr>
              <w:t>/Policy</w:t>
            </w:r>
            <w:r w:rsidRPr="00534992">
              <w:rPr>
                <w:b/>
                <w:bCs/>
                <w:sz w:val="20"/>
                <w:szCs w:val="20"/>
              </w:rPr>
              <w:t xml:space="preserve"> Number</w:t>
            </w:r>
          </w:p>
        </w:tc>
        <w:tc>
          <w:tcPr>
            <w:tcW w:w="3507" w:type="dxa"/>
          </w:tcPr>
          <w:p w14:paraId="0563FF17" w14:textId="654E63F2" w:rsidR="00534992" w:rsidRPr="00422EA2" w:rsidRDefault="00534992" w:rsidP="00422EA2">
            <w:pPr>
              <w:rPr>
                <w:color w:val="FF40FF"/>
                <w:sz w:val="21"/>
                <w:szCs w:val="21"/>
              </w:rPr>
            </w:pPr>
            <w:r w:rsidRPr="00422EA2">
              <w:rPr>
                <w:color w:val="FF40FF"/>
                <w:sz w:val="21"/>
                <w:szCs w:val="21"/>
              </w:rPr>
              <w:t>[</w:t>
            </w:r>
            <w:r w:rsidR="00977BCE">
              <w:rPr>
                <w:color w:val="FF40FF"/>
                <w:sz w:val="21"/>
                <w:szCs w:val="21"/>
              </w:rPr>
              <w:t>Member</w:t>
            </w:r>
            <w:r w:rsidR="00EF7509">
              <w:rPr>
                <w:color w:val="FF40FF"/>
                <w:sz w:val="21"/>
                <w:szCs w:val="21"/>
              </w:rPr>
              <w:t xml:space="preserve"> </w:t>
            </w:r>
            <w:r w:rsidRPr="00422EA2">
              <w:rPr>
                <w:color w:val="FF40FF"/>
                <w:sz w:val="21"/>
                <w:szCs w:val="21"/>
              </w:rPr>
              <w:t>group/policy number]</w:t>
            </w:r>
          </w:p>
        </w:tc>
      </w:tr>
      <w:tr w:rsidR="00644213" w14:paraId="32393EE1" w14:textId="77777777" w:rsidTr="00D12895">
        <w:trPr>
          <w:trHeight w:val="316"/>
        </w:trPr>
        <w:tc>
          <w:tcPr>
            <w:tcW w:w="3183" w:type="dxa"/>
          </w:tcPr>
          <w:p w14:paraId="35A09CD5" w14:textId="13112D24" w:rsidR="00644213" w:rsidRPr="00534992" w:rsidRDefault="00644213" w:rsidP="00644213">
            <w:pPr>
              <w:pStyle w:val="BodyText"/>
              <w:spacing w:before="2"/>
              <w:ind w:left="0"/>
              <w:rPr>
                <w:b/>
                <w:bCs/>
                <w:sz w:val="20"/>
                <w:szCs w:val="20"/>
              </w:rPr>
            </w:pPr>
            <w:r w:rsidRPr="000F6082">
              <w:rPr>
                <w:b/>
                <w:bCs/>
                <w:sz w:val="20"/>
                <w:szCs w:val="20"/>
              </w:rPr>
              <w:t xml:space="preserve">Appeal </w:t>
            </w:r>
            <w:r>
              <w:rPr>
                <w:b/>
                <w:bCs/>
                <w:sz w:val="20"/>
                <w:szCs w:val="20"/>
              </w:rPr>
              <w:t>case ID number</w:t>
            </w:r>
          </w:p>
        </w:tc>
        <w:tc>
          <w:tcPr>
            <w:tcW w:w="3507" w:type="dxa"/>
          </w:tcPr>
          <w:p w14:paraId="6DAD739D" w14:textId="14FD8B68" w:rsidR="00644213" w:rsidRPr="00422EA2" w:rsidRDefault="00644213" w:rsidP="00644213">
            <w:pPr>
              <w:rPr>
                <w:color w:val="FF40FF"/>
                <w:sz w:val="21"/>
                <w:szCs w:val="21"/>
              </w:rPr>
            </w:pPr>
            <w:r w:rsidRPr="007B731E">
              <w:rPr>
                <w:color w:val="FF40FF"/>
                <w:sz w:val="21"/>
                <w:szCs w:val="21"/>
              </w:rPr>
              <w:t>[Case ID number]</w:t>
            </w:r>
          </w:p>
        </w:tc>
      </w:tr>
      <w:tr w:rsidR="00644213" w14:paraId="2FB24A65" w14:textId="77777777" w:rsidTr="00D12895">
        <w:trPr>
          <w:trHeight w:val="316"/>
        </w:trPr>
        <w:tc>
          <w:tcPr>
            <w:tcW w:w="3183" w:type="dxa"/>
          </w:tcPr>
          <w:p w14:paraId="27230502" w14:textId="5DD9D9A4" w:rsidR="00644213" w:rsidRPr="00534992" w:rsidRDefault="00644213" w:rsidP="00644213">
            <w:pPr>
              <w:pStyle w:val="BodyText"/>
              <w:spacing w:before="2"/>
              <w:ind w:left="0"/>
              <w:rPr>
                <w:b/>
                <w:bCs/>
                <w:sz w:val="20"/>
                <w:szCs w:val="20"/>
              </w:rPr>
            </w:pPr>
            <w:r w:rsidRPr="000F6082">
              <w:rPr>
                <w:b/>
                <w:bCs/>
                <w:sz w:val="20"/>
                <w:szCs w:val="20"/>
              </w:rPr>
              <w:t xml:space="preserve">Denial </w:t>
            </w:r>
            <w:r>
              <w:rPr>
                <w:b/>
                <w:bCs/>
                <w:sz w:val="20"/>
                <w:szCs w:val="20"/>
              </w:rPr>
              <w:t>d</w:t>
            </w:r>
            <w:r w:rsidRPr="000F6082">
              <w:rPr>
                <w:b/>
                <w:bCs/>
                <w:sz w:val="20"/>
                <w:szCs w:val="20"/>
              </w:rPr>
              <w:t>ate</w:t>
            </w:r>
          </w:p>
        </w:tc>
        <w:tc>
          <w:tcPr>
            <w:tcW w:w="3507" w:type="dxa"/>
          </w:tcPr>
          <w:p w14:paraId="0583E344" w14:textId="097F3FA6" w:rsidR="00644213" w:rsidRPr="00422EA2" w:rsidRDefault="00644213" w:rsidP="00644213">
            <w:pPr>
              <w:rPr>
                <w:color w:val="FF40FF"/>
                <w:sz w:val="21"/>
                <w:szCs w:val="21"/>
              </w:rPr>
            </w:pPr>
            <w:r w:rsidRPr="007B731E">
              <w:rPr>
                <w:color w:val="FF40FF"/>
                <w:sz w:val="21"/>
                <w:szCs w:val="21"/>
              </w:rPr>
              <w:t>[Date of appeal denial]</w:t>
            </w:r>
          </w:p>
        </w:tc>
      </w:tr>
    </w:tbl>
    <w:p w14:paraId="376F809D" w14:textId="4BA5D3B0" w:rsidR="00453E2B" w:rsidRPr="00FB5CC4" w:rsidRDefault="00453E2B" w:rsidP="001274B8">
      <w:pPr>
        <w:rPr>
          <w:sz w:val="21"/>
          <w:szCs w:val="21"/>
        </w:rPr>
      </w:pPr>
    </w:p>
    <w:p w14:paraId="3C846CC9" w14:textId="3A7FDF31" w:rsidR="003458DB" w:rsidRPr="00374E3F" w:rsidRDefault="00453E2B" w:rsidP="00A37BB8">
      <w:pPr>
        <w:rPr>
          <w:color w:val="000000" w:themeColor="text1"/>
          <w:sz w:val="21"/>
          <w:szCs w:val="21"/>
        </w:rPr>
      </w:pPr>
      <w:r w:rsidRPr="00FB5CC4">
        <w:rPr>
          <w:sz w:val="21"/>
          <w:szCs w:val="21"/>
        </w:rPr>
        <w:t>I am writing on behalf of my patient</w:t>
      </w:r>
      <w:r w:rsidR="00184044">
        <w:rPr>
          <w:sz w:val="21"/>
          <w:szCs w:val="21"/>
        </w:rPr>
        <w:t>,</w:t>
      </w:r>
      <w:r w:rsidR="00685287">
        <w:rPr>
          <w:sz w:val="21"/>
          <w:szCs w:val="21"/>
        </w:rPr>
        <w:t xml:space="preserve"> </w:t>
      </w:r>
      <w:r w:rsidR="00E05B88" w:rsidRPr="00D73716">
        <w:rPr>
          <w:color w:val="FF40FF"/>
          <w:sz w:val="21"/>
          <w:szCs w:val="21"/>
        </w:rPr>
        <w:t>[</w:t>
      </w:r>
      <w:r w:rsidR="00FB5CC4" w:rsidRPr="00D73716">
        <w:rPr>
          <w:color w:val="FF40FF"/>
          <w:sz w:val="21"/>
          <w:szCs w:val="21"/>
        </w:rPr>
        <w:t>p</w:t>
      </w:r>
      <w:r w:rsidRPr="00D73716">
        <w:rPr>
          <w:color w:val="FF40FF"/>
          <w:sz w:val="21"/>
          <w:szCs w:val="21"/>
        </w:rPr>
        <w:t xml:space="preserve">atient </w:t>
      </w:r>
      <w:r w:rsidR="00FB5CC4" w:rsidRPr="00D73716">
        <w:rPr>
          <w:color w:val="FF40FF"/>
          <w:sz w:val="21"/>
          <w:szCs w:val="21"/>
        </w:rPr>
        <w:t>name</w:t>
      </w:r>
      <w:r w:rsidR="00E05B88" w:rsidRPr="00D73716">
        <w:rPr>
          <w:color w:val="FF40FF"/>
          <w:sz w:val="21"/>
          <w:szCs w:val="21"/>
        </w:rPr>
        <w:t>]</w:t>
      </w:r>
      <w:r w:rsidR="00977BCE" w:rsidRPr="00977BCE">
        <w:rPr>
          <w:color w:val="000000" w:themeColor="text1"/>
          <w:sz w:val="21"/>
          <w:szCs w:val="21"/>
        </w:rPr>
        <w:t>,</w:t>
      </w:r>
      <w:r w:rsidR="00374E3F">
        <w:rPr>
          <w:color w:val="000000" w:themeColor="text1"/>
          <w:sz w:val="21"/>
          <w:szCs w:val="21"/>
        </w:rPr>
        <w:t xml:space="preserve"> </w:t>
      </w:r>
      <w:r w:rsidR="00374E3F" w:rsidRPr="00374E3F">
        <w:rPr>
          <w:color w:val="000000" w:themeColor="text1"/>
          <w:sz w:val="21"/>
          <w:szCs w:val="21"/>
        </w:rPr>
        <w:t>to appeal a denial of coverage and to request review by an oncology medical advisor to reconsider coverage for treatment of</w:t>
      </w:r>
      <w:r w:rsidR="00374E3F">
        <w:rPr>
          <w:color w:val="000000" w:themeColor="text1"/>
          <w:sz w:val="21"/>
          <w:szCs w:val="21"/>
        </w:rPr>
        <w:t xml:space="preserve"> </w:t>
      </w:r>
      <w:r w:rsidR="00374E3F">
        <w:rPr>
          <w:color w:val="FF40FF"/>
          <w:sz w:val="21"/>
          <w:szCs w:val="21"/>
        </w:rPr>
        <w:t>[u</w:t>
      </w:r>
      <w:r w:rsidR="00A37BB8" w:rsidRPr="00A37BB8">
        <w:rPr>
          <w:color w:val="FF40FF"/>
          <w:sz w:val="21"/>
          <w:szCs w:val="21"/>
        </w:rPr>
        <w:t xml:space="preserve">nresectable or metastatic </w:t>
      </w:r>
      <w:r w:rsidR="00374E3F">
        <w:rPr>
          <w:color w:val="FF40FF"/>
          <w:sz w:val="21"/>
          <w:szCs w:val="21"/>
        </w:rPr>
        <w:t xml:space="preserve">synovial sarcoma] </w:t>
      </w:r>
      <w:r w:rsidR="00374E3F">
        <w:rPr>
          <w:color w:val="000000" w:themeColor="text1"/>
          <w:sz w:val="21"/>
          <w:szCs w:val="21"/>
        </w:rPr>
        <w:t>with TECELRA® (</w:t>
      </w:r>
      <w:r w:rsidR="00374E3F">
        <w:rPr>
          <w:rFonts w:cstheme="minorHAnsi"/>
          <w:sz w:val="21"/>
          <w:szCs w:val="21"/>
        </w:rPr>
        <w:t>a</w:t>
      </w:r>
      <w:r w:rsidR="00374E3F" w:rsidRPr="00A37BB8">
        <w:rPr>
          <w:rFonts w:cstheme="minorHAnsi"/>
          <w:sz w:val="21"/>
          <w:szCs w:val="21"/>
        </w:rPr>
        <w:t>famitresgene autoleucel)</w:t>
      </w:r>
      <w:r w:rsidR="00374E3F" w:rsidRPr="00374E3F">
        <w:rPr>
          <w:color w:val="000000" w:themeColor="text1"/>
          <w:sz w:val="21"/>
          <w:szCs w:val="21"/>
        </w:rPr>
        <w:t>. According to your letter</w:t>
      </w:r>
      <w:r w:rsidR="00374E3F">
        <w:rPr>
          <w:color w:val="000000" w:themeColor="text1"/>
          <w:sz w:val="21"/>
          <w:szCs w:val="21"/>
        </w:rPr>
        <w:t xml:space="preserve">, coverage was denied due to </w:t>
      </w:r>
      <w:r w:rsidR="00374E3F" w:rsidRPr="007B731E">
        <w:rPr>
          <w:color w:val="FF40FF"/>
          <w:sz w:val="21"/>
          <w:szCs w:val="21"/>
        </w:rPr>
        <w:t>[reason as stated in the denial letter]</w:t>
      </w:r>
      <w:r w:rsidR="00374E3F" w:rsidRPr="00213987">
        <w:rPr>
          <w:sz w:val="21"/>
          <w:szCs w:val="21"/>
        </w:rPr>
        <w:t>.</w:t>
      </w:r>
    </w:p>
    <w:p w14:paraId="3AF6946E" w14:textId="77777777" w:rsidR="003458DB" w:rsidRPr="00FB5CC4" w:rsidRDefault="003458DB" w:rsidP="001274B8">
      <w:pPr>
        <w:rPr>
          <w:sz w:val="21"/>
          <w:szCs w:val="21"/>
        </w:rPr>
      </w:pPr>
    </w:p>
    <w:p w14:paraId="117EE74E" w14:textId="30698DBC" w:rsidR="006D4398" w:rsidRPr="00D73716" w:rsidRDefault="00BA5DC4" w:rsidP="006D4398">
      <w:pPr>
        <w:rPr>
          <w:color w:val="FF40FF"/>
          <w:sz w:val="21"/>
          <w:szCs w:val="21"/>
        </w:rPr>
      </w:pPr>
      <w:r w:rsidRPr="00FB5CC4">
        <w:rPr>
          <w:sz w:val="21"/>
          <w:szCs w:val="21"/>
        </w:rPr>
        <w:t xml:space="preserve">My clinical assessment indicates </w:t>
      </w:r>
      <w:bookmarkStart w:id="1" w:name="_Hlk51234326"/>
      <w:r w:rsidRPr="00FB5CC4">
        <w:rPr>
          <w:sz w:val="21"/>
          <w:szCs w:val="21"/>
        </w:rPr>
        <w:t xml:space="preserve">that </w:t>
      </w:r>
      <w:r w:rsidR="00A37BB8">
        <w:rPr>
          <w:sz w:val="21"/>
          <w:szCs w:val="21"/>
        </w:rPr>
        <w:t>TECELRA</w:t>
      </w:r>
      <w:r w:rsidRPr="00FB5CC4">
        <w:rPr>
          <w:sz w:val="21"/>
          <w:szCs w:val="21"/>
        </w:rPr>
        <w:t xml:space="preserve"> is medically necessary for </w:t>
      </w:r>
      <w:r w:rsidR="00FB5CC4" w:rsidRPr="00D73716">
        <w:rPr>
          <w:color w:val="FF40FF"/>
          <w:sz w:val="21"/>
          <w:szCs w:val="21"/>
        </w:rPr>
        <w:t>[p</w:t>
      </w:r>
      <w:r w:rsidRPr="00D73716">
        <w:rPr>
          <w:color w:val="FF40FF"/>
          <w:sz w:val="21"/>
          <w:szCs w:val="21"/>
        </w:rPr>
        <w:t xml:space="preserve">atient </w:t>
      </w:r>
      <w:r w:rsidR="00FB5CC4" w:rsidRPr="00D73716">
        <w:rPr>
          <w:color w:val="FF40FF"/>
          <w:sz w:val="21"/>
          <w:szCs w:val="21"/>
        </w:rPr>
        <w:t>n</w:t>
      </w:r>
      <w:r w:rsidRPr="00D73716">
        <w:rPr>
          <w:color w:val="FF40FF"/>
          <w:sz w:val="21"/>
          <w:szCs w:val="21"/>
        </w:rPr>
        <w:t>ame</w:t>
      </w:r>
      <w:r w:rsidR="00FB5CC4" w:rsidRPr="00D73716">
        <w:rPr>
          <w:color w:val="FF40FF"/>
          <w:sz w:val="21"/>
          <w:szCs w:val="21"/>
        </w:rPr>
        <w:t>]</w:t>
      </w:r>
      <w:r w:rsidRPr="00D73716">
        <w:rPr>
          <w:color w:val="000000" w:themeColor="text1"/>
          <w:sz w:val="21"/>
          <w:szCs w:val="21"/>
        </w:rPr>
        <w:t>.</w:t>
      </w:r>
      <w:bookmarkEnd w:id="1"/>
      <w:r w:rsidR="00374E3F">
        <w:rPr>
          <w:color w:val="000000" w:themeColor="text1"/>
          <w:sz w:val="21"/>
          <w:szCs w:val="21"/>
        </w:rPr>
        <w:t xml:space="preserve"> A brief description of the patient’s medical history is provided below: </w:t>
      </w:r>
      <w:r w:rsidRPr="00D73716">
        <w:rPr>
          <w:color w:val="FF40FF"/>
          <w:sz w:val="21"/>
          <w:szCs w:val="21"/>
        </w:rPr>
        <w:t xml:space="preserve"> </w:t>
      </w:r>
    </w:p>
    <w:p w14:paraId="4C7C56E7" w14:textId="5E8FC970" w:rsidR="006D4398" w:rsidRPr="00D73716" w:rsidRDefault="006D4398" w:rsidP="00A70F48">
      <w:pPr>
        <w:rPr>
          <w:color w:val="FF40FF"/>
          <w:sz w:val="21"/>
          <w:szCs w:val="21"/>
        </w:rPr>
      </w:pPr>
      <w:r w:rsidRPr="00D73716">
        <w:rPr>
          <w:color w:val="FF40FF"/>
          <w:sz w:val="21"/>
          <w:szCs w:val="21"/>
        </w:rPr>
        <w:t xml:space="preserve">[Please use the below table to clearly outline relevant details </w:t>
      </w:r>
      <w:r w:rsidR="00184044">
        <w:rPr>
          <w:color w:val="FF40FF"/>
          <w:sz w:val="21"/>
          <w:szCs w:val="21"/>
        </w:rPr>
        <w:t>that</w:t>
      </w:r>
      <w:r w:rsidRPr="00D73716">
        <w:rPr>
          <w:color w:val="FF40FF"/>
          <w:sz w:val="21"/>
          <w:szCs w:val="21"/>
        </w:rPr>
        <w:t xml:space="preserve"> document the patient’s medical necessity</w:t>
      </w:r>
      <w:r w:rsidR="00A70F48" w:rsidRPr="00D73716">
        <w:rPr>
          <w:color w:val="FF40FF"/>
          <w:sz w:val="21"/>
          <w:szCs w:val="21"/>
        </w:rPr>
        <w:t>.</w:t>
      </w:r>
      <w:r w:rsidR="00A70F48" w:rsidRPr="00A70F48">
        <w:rPr>
          <w:color w:val="FF40FF"/>
          <w:sz w:val="21"/>
          <w:szCs w:val="21"/>
        </w:rPr>
        <w:t xml:space="preserve"> Note: Exercise medical judgment and discretion when providing a diagnosis and characterization of the patient’s medical condition.</w:t>
      </w:r>
      <w:r w:rsidRPr="00D73716">
        <w:rPr>
          <w:color w:val="FF40FF"/>
          <w:sz w:val="21"/>
          <w:szCs w:val="21"/>
        </w:rPr>
        <w:t>]</w:t>
      </w:r>
    </w:p>
    <w:tbl>
      <w:tblPr>
        <w:tblStyle w:val="TableGrid"/>
        <w:tblW w:w="0" w:type="auto"/>
        <w:tblLook w:val="04A0" w:firstRow="1" w:lastRow="0" w:firstColumn="1" w:lastColumn="0" w:noHBand="0" w:noVBand="1"/>
      </w:tblPr>
      <w:tblGrid>
        <w:gridCol w:w="3015"/>
        <w:gridCol w:w="6335"/>
      </w:tblGrid>
      <w:tr w:rsidR="006D4398" w14:paraId="0BCF1B91" w14:textId="77777777" w:rsidTr="00374E3F">
        <w:tc>
          <w:tcPr>
            <w:tcW w:w="3015" w:type="dxa"/>
          </w:tcPr>
          <w:p w14:paraId="591EC544" w14:textId="77777777" w:rsidR="006D4398" w:rsidRPr="000F6082" w:rsidRDefault="006D4398" w:rsidP="00D12895">
            <w:pPr>
              <w:pStyle w:val="BodyText"/>
              <w:spacing w:line="266" w:lineRule="exact"/>
              <w:ind w:left="0"/>
              <w:rPr>
                <w:b/>
                <w:bCs/>
                <w:sz w:val="20"/>
                <w:szCs w:val="20"/>
              </w:rPr>
            </w:pPr>
            <w:r w:rsidRPr="000F6082">
              <w:rPr>
                <w:b/>
                <w:bCs/>
                <w:sz w:val="20"/>
                <w:szCs w:val="20"/>
              </w:rPr>
              <w:t xml:space="preserve">Primary </w:t>
            </w:r>
            <w:r>
              <w:rPr>
                <w:b/>
                <w:bCs/>
                <w:sz w:val="20"/>
                <w:szCs w:val="20"/>
              </w:rPr>
              <w:t>d</w:t>
            </w:r>
            <w:r w:rsidRPr="000F6082">
              <w:rPr>
                <w:b/>
                <w:bCs/>
                <w:sz w:val="20"/>
                <w:szCs w:val="20"/>
              </w:rPr>
              <w:t>iagnosis</w:t>
            </w:r>
          </w:p>
        </w:tc>
        <w:tc>
          <w:tcPr>
            <w:tcW w:w="6335" w:type="dxa"/>
          </w:tcPr>
          <w:p w14:paraId="6BDC05E8" w14:textId="00097BB5" w:rsidR="006D4398" w:rsidRDefault="006D4398" w:rsidP="00D73716">
            <w:pPr>
              <w:rPr>
                <w:color w:val="FF40FF"/>
                <w:sz w:val="21"/>
                <w:szCs w:val="21"/>
              </w:rPr>
            </w:pPr>
            <w:r w:rsidRPr="00D73716">
              <w:rPr>
                <w:color w:val="FF40FF"/>
                <w:sz w:val="21"/>
                <w:szCs w:val="21"/>
              </w:rPr>
              <w:t>[</w:t>
            </w:r>
            <w:r w:rsidR="00A37BB8" w:rsidRPr="00A37BB8">
              <w:rPr>
                <w:color w:val="FF40FF"/>
                <w:sz w:val="21"/>
                <w:szCs w:val="21"/>
              </w:rPr>
              <w:t xml:space="preserve">unresectable or metastatic </w:t>
            </w:r>
            <w:r w:rsidR="005022F2">
              <w:rPr>
                <w:color w:val="FF40FF"/>
                <w:sz w:val="21"/>
                <w:szCs w:val="21"/>
              </w:rPr>
              <w:t>synovial sarcoma</w:t>
            </w:r>
            <w:r w:rsidR="00A37BB8" w:rsidRPr="00A37BB8">
              <w:rPr>
                <w:color w:val="FF40FF"/>
                <w:sz w:val="21"/>
                <w:szCs w:val="21"/>
              </w:rPr>
              <w:t xml:space="preserve"> </w:t>
            </w:r>
            <w:r w:rsidR="00A37BB8">
              <w:rPr>
                <w:color w:val="FF40FF"/>
                <w:sz w:val="21"/>
                <w:szCs w:val="21"/>
              </w:rPr>
              <w:t>that</w:t>
            </w:r>
            <w:r w:rsidR="00A37BB8" w:rsidRPr="00A37BB8">
              <w:rPr>
                <w:color w:val="FF40FF"/>
                <w:sz w:val="21"/>
                <w:szCs w:val="21"/>
              </w:rPr>
              <w:t xml:space="preserve"> received prior </w:t>
            </w:r>
            <w:r w:rsidR="00963B9F">
              <w:rPr>
                <w:color w:val="FF40FF"/>
                <w:sz w:val="21"/>
                <w:szCs w:val="21"/>
              </w:rPr>
              <w:t>chemotherapy</w:t>
            </w:r>
            <w:r w:rsidR="00A37BB8" w:rsidRPr="00A37BB8">
              <w:rPr>
                <w:color w:val="FF40FF"/>
                <w:sz w:val="21"/>
                <w:szCs w:val="21"/>
              </w:rPr>
              <w:t xml:space="preserve">, </w:t>
            </w:r>
            <w:r w:rsidR="00A37BB8">
              <w:rPr>
                <w:color w:val="FF40FF"/>
                <w:sz w:val="21"/>
                <w:szCs w:val="21"/>
              </w:rPr>
              <w:t>is</w:t>
            </w:r>
            <w:r w:rsidR="00A37BB8" w:rsidRPr="00A37BB8">
              <w:rPr>
                <w:color w:val="FF40FF"/>
                <w:sz w:val="21"/>
                <w:szCs w:val="21"/>
              </w:rPr>
              <w:t xml:space="preserve"> HLA-A*02:01P, -A*02:02P, -A*02:03P, or -A*02:06P</w:t>
            </w:r>
            <w:r w:rsidR="0036760D">
              <w:rPr>
                <w:color w:val="FF40FF"/>
                <w:sz w:val="21"/>
                <w:szCs w:val="21"/>
              </w:rPr>
              <w:t xml:space="preserve"> positive</w:t>
            </w:r>
            <w:r w:rsidR="00A37BB8" w:rsidRPr="00A37BB8">
              <w:rPr>
                <w:color w:val="FF40FF"/>
                <w:sz w:val="21"/>
                <w:szCs w:val="21"/>
              </w:rPr>
              <w:t xml:space="preserve"> and tumor express</w:t>
            </w:r>
            <w:r w:rsidR="0036760D">
              <w:rPr>
                <w:color w:val="FF40FF"/>
                <w:sz w:val="21"/>
                <w:szCs w:val="21"/>
              </w:rPr>
              <w:t>es</w:t>
            </w:r>
            <w:r w:rsidR="00A37BB8" w:rsidRPr="00A37BB8">
              <w:rPr>
                <w:color w:val="FF40FF"/>
                <w:sz w:val="21"/>
                <w:szCs w:val="21"/>
              </w:rPr>
              <w:t xml:space="preserve"> the MAGE-A4 antigen as </w:t>
            </w:r>
            <w:r w:rsidR="00E4099F">
              <w:rPr>
                <w:color w:val="FF40FF"/>
                <w:sz w:val="21"/>
                <w:szCs w:val="21"/>
              </w:rPr>
              <w:t>determined</w:t>
            </w:r>
            <w:r w:rsidR="00A77C44">
              <w:rPr>
                <w:color w:val="FF40FF"/>
                <w:sz w:val="21"/>
                <w:szCs w:val="21"/>
              </w:rPr>
              <w:t xml:space="preserve"> </w:t>
            </w:r>
            <w:r w:rsidR="00A37BB8" w:rsidRPr="00A37BB8">
              <w:rPr>
                <w:color w:val="FF40FF"/>
                <w:sz w:val="21"/>
                <w:szCs w:val="21"/>
              </w:rPr>
              <w:t>by FDA-approved</w:t>
            </w:r>
            <w:r w:rsidR="00B31CAF">
              <w:rPr>
                <w:color w:val="FF40FF"/>
                <w:sz w:val="21"/>
                <w:szCs w:val="21"/>
              </w:rPr>
              <w:t xml:space="preserve"> or cleared companion diagnostic devices</w:t>
            </w:r>
            <w:r w:rsidRPr="00D73716">
              <w:rPr>
                <w:color w:val="FF40FF"/>
                <w:sz w:val="21"/>
                <w:szCs w:val="21"/>
              </w:rPr>
              <w:t>]</w:t>
            </w:r>
          </w:p>
          <w:p w14:paraId="358E3AD8" w14:textId="77777777" w:rsidR="00965B61" w:rsidRDefault="00965B61" w:rsidP="00D73716">
            <w:pPr>
              <w:rPr>
                <w:color w:val="FF40FF"/>
                <w:sz w:val="21"/>
                <w:szCs w:val="21"/>
              </w:rPr>
            </w:pPr>
          </w:p>
          <w:p w14:paraId="0C82AA62" w14:textId="1179E42C" w:rsidR="00965B61" w:rsidRPr="00D73716" w:rsidRDefault="00965B61" w:rsidP="00D73716">
            <w:pPr>
              <w:rPr>
                <w:color w:val="FF40FF"/>
                <w:sz w:val="21"/>
                <w:szCs w:val="21"/>
              </w:rPr>
            </w:pPr>
            <w:r>
              <w:rPr>
                <w:color w:val="FF40FF"/>
                <w:sz w:val="21"/>
                <w:szCs w:val="21"/>
              </w:rPr>
              <w:t>[Insert biomarker testing results]</w:t>
            </w:r>
          </w:p>
        </w:tc>
      </w:tr>
      <w:tr w:rsidR="006D4398" w14:paraId="42D0CB3D" w14:textId="77777777" w:rsidTr="00374E3F">
        <w:tc>
          <w:tcPr>
            <w:tcW w:w="3015" w:type="dxa"/>
          </w:tcPr>
          <w:p w14:paraId="2361325D" w14:textId="77777777" w:rsidR="006D4398" w:rsidRPr="000F6082" w:rsidRDefault="006D4398" w:rsidP="00D12895">
            <w:pPr>
              <w:pStyle w:val="BodyText"/>
              <w:spacing w:line="266" w:lineRule="exact"/>
              <w:ind w:left="0"/>
              <w:rPr>
                <w:b/>
                <w:bCs/>
                <w:sz w:val="20"/>
                <w:szCs w:val="20"/>
              </w:rPr>
            </w:pPr>
            <w:r w:rsidRPr="000F6082">
              <w:rPr>
                <w:b/>
                <w:bCs/>
                <w:sz w:val="20"/>
                <w:szCs w:val="20"/>
              </w:rPr>
              <w:t>ICD-10-CM code</w:t>
            </w:r>
          </w:p>
        </w:tc>
        <w:tc>
          <w:tcPr>
            <w:tcW w:w="6335" w:type="dxa"/>
          </w:tcPr>
          <w:p w14:paraId="62D5E576" w14:textId="4701882E" w:rsidR="006D4398" w:rsidRPr="00D73716" w:rsidRDefault="006D4398" w:rsidP="00D73716">
            <w:pPr>
              <w:rPr>
                <w:color w:val="FF40FF"/>
                <w:sz w:val="21"/>
                <w:szCs w:val="21"/>
              </w:rPr>
            </w:pPr>
            <w:r w:rsidRPr="00D73716">
              <w:rPr>
                <w:color w:val="FF40FF"/>
                <w:sz w:val="21"/>
                <w:szCs w:val="21"/>
              </w:rPr>
              <w:t>[</w:t>
            </w:r>
            <w:r w:rsidR="00977BCE">
              <w:rPr>
                <w:color w:val="FF40FF"/>
                <w:sz w:val="21"/>
                <w:szCs w:val="21"/>
              </w:rPr>
              <w:t>C</w:t>
            </w:r>
            <w:r w:rsidR="00A37BB8">
              <w:rPr>
                <w:color w:val="FF40FF"/>
                <w:sz w:val="21"/>
                <w:szCs w:val="21"/>
              </w:rPr>
              <w:t>XX.XX]</w:t>
            </w:r>
          </w:p>
        </w:tc>
      </w:tr>
      <w:tr w:rsidR="006D4398" w14:paraId="45469395" w14:textId="77777777" w:rsidTr="00374E3F">
        <w:tc>
          <w:tcPr>
            <w:tcW w:w="3015" w:type="dxa"/>
          </w:tcPr>
          <w:p w14:paraId="5F11C829" w14:textId="2F3B8BE9" w:rsidR="006D4398" w:rsidRPr="000F6082" w:rsidRDefault="00184044" w:rsidP="00D12895">
            <w:pPr>
              <w:pStyle w:val="BodyText"/>
              <w:spacing w:line="266" w:lineRule="exact"/>
              <w:ind w:left="0"/>
              <w:rPr>
                <w:b/>
                <w:bCs/>
                <w:sz w:val="20"/>
                <w:szCs w:val="20"/>
              </w:rPr>
            </w:pPr>
            <w:r>
              <w:rPr>
                <w:b/>
                <w:bCs/>
                <w:sz w:val="20"/>
                <w:szCs w:val="20"/>
              </w:rPr>
              <w:t>No.</w:t>
            </w:r>
            <w:r w:rsidR="006D4398" w:rsidRPr="000F6082">
              <w:rPr>
                <w:b/>
                <w:bCs/>
                <w:sz w:val="20"/>
                <w:szCs w:val="20"/>
              </w:rPr>
              <w:t xml:space="preserve"> of prior therapies</w:t>
            </w:r>
          </w:p>
        </w:tc>
        <w:tc>
          <w:tcPr>
            <w:tcW w:w="6335" w:type="dxa"/>
          </w:tcPr>
          <w:p w14:paraId="4838C767" w14:textId="04B9DEE5" w:rsidR="006D4398" w:rsidRPr="00D73716" w:rsidRDefault="006D4398" w:rsidP="00D73716">
            <w:pPr>
              <w:rPr>
                <w:color w:val="FF40FF"/>
                <w:sz w:val="21"/>
                <w:szCs w:val="21"/>
              </w:rPr>
            </w:pPr>
            <w:r w:rsidRPr="00D73716">
              <w:rPr>
                <w:color w:val="FF40FF"/>
                <w:sz w:val="21"/>
                <w:szCs w:val="21"/>
              </w:rPr>
              <w:t>[</w:t>
            </w:r>
            <w:r w:rsidR="00184044">
              <w:rPr>
                <w:color w:val="FF40FF"/>
                <w:sz w:val="21"/>
                <w:szCs w:val="21"/>
              </w:rPr>
              <w:t>No.</w:t>
            </w:r>
            <w:r w:rsidRPr="00D73716">
              <w:rPr>
                <w:color w:val="FF40FF"/>
                <w:sz w:val="21"/>
                <w:szCs w:val="21"/>
              </w:rPr>
              <w:t xml:space="preserve"> of prior therapies]</w:t>
            </w:r>
          </w:p>
        </w:tc>
      </w:tr>
      <w:tr w:rsidR="006D4398" w14:paraId="12BC6CCE" w14:textId="77777777" w:rsidTr="00374E3F">
        <w:tc>
          <w:tcPr>
            <w:tcW w:w="3015" w:type="dxa"/>
          </w:tcPr>
          <w:p w14:paraId="3F989AD0" w14:textId="3693E631" w:rsidR="006D4398" w:rsidRPr="00EF4D2D" w:rsidRDefault="006D4398" w:rsidP="00D12895">
            <w:pPr>
              <w:pStyle w:val="BodyText"/>
              <w:spacing w:line="266" w:lineRule="exact"/>
              <w:ind w:left="0"/>
              <w:rPr>
                <w:b/>
                <w:bCs/>
                <w:color w:val="000000" w:themeColor="text1"/>
                <w:sz w:val="20"/>
                <w:szCs w:val="20"/>
              </w:rPr>
            </w:pPr>
            <w:r w:rsidRPr="00EF4D2D">
              <w:rPr>
                <w:b/>
                <w:bCs/>
                <w:color w:val="000000" w:themeColor="text1"/>
                <w:sz w:val="20"/>
                <w:szCs w:val="20"/>
              </w:rPr>
              <w:t xml:space="preserve">Description of prior therapies </w:t>
            </w:r>
            <w:r w:rsidR="00CC1EF9">
              <w:rPr>
                <w:b/>
                <w:bCs/>
                <w:color w:val="000000" w:themeColor="text1"/>
                <w:sz w:val="20"/>
                <w:szCs w:val="20"/>
              </w:rPr>
              <w:t>and</w:t>
            </w:r>
            <w:r w:rsidRPr="00EF4D2D">
              <w:rPr>
                <w:b/>
                <w:bCs/>
                <w:color w:val="000000" w:themeColor="text1"/>
                <w:sz w:val="20"/>
                <w:szCs w:val="20"/>
              </w:rPr>
              <w:t xml:space="preserve"> treatment response</w:t>
            </w:r>
          </w:p>
        </w:tc>
        <w:tc>
          <w:tcPr>
            <w:tcW w:w="6335" w:type="dxa"/>
          </w:tcPr>
          <w:p w14:paraId="5C77F5AD" w14:textId="2043540E" w:rsidR="006D4398" w:rsidRPr="00D73716" w:rsidRDefault="006D4398" w:rsidP="00D73716">
            <w:pPr>
              <w:rPr>
                <w:color w:val="FF40FF"/>
                <w:sz w:val="21"/>
                <w:szCs w:val="21"/>
              </w:rPr>
            </w:pPr>
            <w:r w:rsidRPr="00D73716">
              <w:rPr>
                <w:color w:val="FF40FF"/>
                <w:sz w:val="21"/>
                <w:szCs w:val="21"/>
              </w:rPr>
              <w:t xml:space="preserve">[Description of prior therapy 1 </w:t>
            </w:r>
            <w:r w:rsidR="00CC1EF9" w:rsidRPr="00D73716">
              <w:rPr>
                <w:color w:val="FF40FF"/>
                <w:sz w:val="21"/>
                <w:szCs w:val="21"/>
              </w:rPr>
              <w:t>and</w:t>
            </w:r>
            <w:r w:rsidRPr="00D73716">
              <w:rPr>
                <w:color w:val="FF40FF"/>
                <w:sz w:val="21"/>
                <w:szCs w:val="21"/>
              </w:rPr>
              <w:t xml:space="preserve"> patient’s treatment response]</w:t>
            </w:r>
          </w:p>
          <w:p w14:paraId="0118DF12" w14:textId="19ED2450" w:rsidR="006D4398" w:rsidRPr="00D73716" w:rsidRDefault="006D4398" w:rsidP="00D73716">
            <w:pPr>
              <w:rPr>
                <w:color w:val="FF40FF"/>
                <w:sz w:val="21"/>
                <w:szCs w:val="21"/>
              </w:rPr>
            </w:pPr>
            <w:r w:rsidRPr="00D73716">
              <w:rPr>
                <w:color w:val="FF40FF"/>
                <w:sz w:val="21"/>
                <w:szCs w:val="21"/>
              </w:rPr>
              <w:t xml:space="preserve">[Description of prior therapy 2 </w:t>
            </w:r>
            <w:r w:rsidR="00CC1EF9" w:rsidRPr="00D73716">
              <w:rPr>
                <w:color w:val="FF40FF"/>
                <w:sz w:val="21"/>
                <w:szCs w:val="21"/>
              </w:rPr>
              <w:t>and</w:t>
            </w:r>
            <w:r w:rsidRPr="00D73716">
              <w:rPr>
                <w:color w:val="FF40FF"/>
                <w:sz w:val="21"/>
                <w:szCs w:val="21"/>
              </w:rPr>
              <w:t xml:space="preserve"> patient’s treatment response]</w:t>
            </w:r>
          </w:p>
          <w:p w14:paraId="32325443" w14:textId="731C2CFC" w:rsidR="006D4398" w:rsidRPr="00D73716" w:rsidRDefault="006D4398" w:rsidP="00D73716">
            <w:pPr>
              <w:rPr>
                <w:color w:val="FF40FF"/>
                <w:sz w:val="21"/>
                <w:szCs w:val="21"/>
              </w:rPr>
            </w:pPr>
            <w:r w:rsidRPr="00D73716">
              <w:rPr>
                <w:color w:val="FF40FF"/>
                <w:sz w:val="21"/>
                <w:szCs w:val="21"/>
              </w:rPr>
              <w:t xml:space="preserve">[Description of prior therapy 3 </w:t>
            </w:r>
            <w:r w:rsidR="00CC1EF9" w:rsidRPr="00D73716">
              <w:rPr>
                <w:color w:val="FF40FF"/>
                <w:sz w:val="21"/>
                <w:szCs w:val="21"/>
              </w:rPr>
              <w:t>and</w:t>
            </w:r>
            <w:r w:rsidRPr="00D73716">
              <w:rPr>
                <w:color w:val="FF40FF"/>
                <w:sz w:val="21"/>
                <w:szCs w:val="21"/>
              </w:rPr>
              <w:t xml:space="preserve"> patient’s treatment response]</w:t>
            </w:r>
          </w:p>
          <w:p w14:paraId="4FD753F3" w14:textId="661E4DCC" w:rsidR="006D4398" w:rsidRPr="00D73716" w:rsidRDefault="006D4398" w:rsidP="00D73716">
            <w:pPr>
              <w:rPr>
                <w:color w:val="FF40FF"/>
                <w:sz w:val="21"/>
                <w:szCs w:val="21"/>
              </w:rPr>
            </w:pPr>
            <w:r w:rsidRPr="00D73716">
              <w:rPr>
                <w:color w:val="FF40FF"/>
                <w:sz w:val="21"/>
                <w:szCs w:val="21"/>
              </w:rPr>
              <w:t xml:space="preserve">[Description of prior therapy 4 </w:t>
            </w:r>
            <w:r w:rsidR="00CC1EF9" w:rsidRPr="00D73716">
              <w:rPr>
                <w:color w:val="FF40FF"/>
                <w:sz w:val="21"/>
                <w:szCs w:val="21"/>
              </w:rPr>
              <w:t>and</w:t>
            </w:r>
            <w:r w:rsidRPr="00D73716">
              <w:rPr>
                <w:color w:val="FF40FF"/>
                <w:sz w:val="21"/>
                <w:szCs w:val="21"/>
              </w:rPr>
              <w:t xml:space="preserve"> patient’s treatment response]</w:t>
            </w:r>
          </w:p>
        </w:tc>
      </w:tr>
      <w:tr w:rsidR="006D4398" w14:paraId="6C569ACD" w14:textId="77777777" w:rsidTr="00374E3F">
        <w:tc>
          <w:tcPr>
            <w:tcW w:w="3015" w:type="dxa"/>
          </w:tcPr>
          <w:p w14:paraId="61A6DC9F" w14:textId="77777777" w:rsidR="006D4398" w:rsidRPr="00EF4D2D" w:rsidRDefault="006D4398" w:rsidP="00D12895">
            <w:pPr>
              <w:pStyle w:val="BodyText"/>
              <w:spacing w:line="266" w:lineRule="exact"/>
              <w:ind w:left="0"/>
              <w:rPr>
                <w:b/>
                <w:bCs/>
                <w:color w:val="000000" w:themeColor="text1"/>
                <w:spacing w:val="-6"/>
                <w:sz w:val="20"/>
                <w:szCs w:val="20"/>
              </w:rPr>
            </w:pPr>
            <w:r w:rsidRPr="00EF4D2D">
              <w:rPr>
                <w:b/>
                <w:bCs/>
                <w:color w:val="000000" w:themeColor="text1"/>
                <w:sz w:val="20"/>
                <w:szCs w:val="20"/>
              </w:rPr>
              <w:t>Relevant</w:t>
            </w:r>
            <w:r w:rsidRPr="00EF4D2D">
              <w:rPr>
                <w:b/>
                <w:bCs/>
                <w:color w:val="000000" w:themeColor="text1"/>
                <w:spacing w:val="-3"/>
                <w:sz w:val="20"/>
                <w:szCs w:val="20"/>
              </w:rPr>
              <w:t xml:space="preserve"> </w:t>
            </w:r>
            <w:r w:rsidRPr="00EF4D2D">
              <w:rPr>
                <w:b/>
                <w:bCs/>
                <w:color w:val="000000" w:themeColor="text1"/>
                <w:sz w:val="20"/>
                <w:szCs w:val="20"/>
              </w:rPr>
              <w:t>disease-related</w:t>
            </w:r>
            <w:r w:rsidRPr="00EF4D2D">
              <w:rPr>
                <w:b/>
                <w:bCs/>
                <w:color w:val="000000" w:themeColor="text1"/>
                <w:spacing w:val="-3"/>
                <w:sz w:val="20"/>
                <w:szCs w:val="20"/>
              </w:rPr>
              <w:t xml:space="preserve"> </w:t>
            </w:r>
            <w:r w:rsidRPr="00EF4D2D">
              <w:rPr>
                <w:b/>
                <w:bCs/>
                <w:color w:val="000000" w:themeColor="text1"/>
                <w:sz w:val="20"/>
                <w:szCs w:val="20"/>
              </w:rPr>
              <w:t>characteristics</w:t>
            </w:r>
            <w:r w:rsidRPr="00EF4D2D">
              <w:rPr>
                <w:b/>
                <w:bCs/>
                <w:color w:val="000000" w:themeColor="text1"/>
                <w:spacing w:val="-6"/>
                <w:sz w:val="20"/>
                <w:szCs w:val="20"/>
              </w:rPr>
              <w:t xml:space="preserve"> </w:t>
            </w:r>
          </w:p>
        </w:tc>
        <w:tc>
          <w:tcPr>
            <w:tcW w:w="6335" w:type="dxa"/>
          </w:tcPr>
          <w:p w14:paraId="596AAC08" w14:textId="35FEED11" w:rsidR="006D4398" w:rsidRPr="00D73716" w:rsidRDefault="006D4398" w:rsidP="00D73716">
            <w:pPr>
              <w:rPr>
                <w:color w:val="FF40FF"/>
                <w:sz w:val="21"/>
                <w:szCs w:val="21"/>
              </w:rPr>
            </w:pPr>
            <w:r w:rsidRPr="00D73716">
              <w:rPr>
                <w:color w:val="FF40FF"/>
                <w:sz w:val="21"/>
                <w:szCs w:val="21"/>
              </w:rPr>
              <w:t>[Insert relevant disease-related characteristics including</w:t>
            </w:r>
            <w:r w:rsidR="00CC1EF9" w:rsidRPr="00D73716">
              <w:rPr>
                <w:color w:val="FF40FF"/>
                <w:sz w:val="21"/>
                <w:szCs w:val="21"/>
              </w:rPr>
              <w:t>,</w:t>
            </w:r>
            <w:r w:rsidRPr="00D73716">
              <w:rPr>
                <w:color w:val="FF40FF"/>
                <w:sz w:val="21"/>
                <w:szCs w:val="21"/>
              </w:rPr>
              <w:t xml:space="preserve"> but not limited to</w:t>
            </w:r>
            <w:r w:rsidR="00CC1EF9" w:rsidRPr="00D73716">
              <w:rPr>
                <w:color w:val="FF40FF"/>
                <w:sz w:val="21"/>
                <w:szCs w:val="21"/>
              </w:rPr>
              <w:t>,</w:t>
            </w:r>
            <w:r w:rsidRPr="00D73716">
              <w:rPr>
                <w:color w:val="FF40FF"/>
                <w:sz w:val="21"/>
                <w:szCs w:val="21"/>
              </w:rPr>
              <w:t xml:space="preserve"> histology and prognostic factors]</w:t>
            </w:r>
          </w:p>
        </w:tc>
      </w:tr>
      <w:tr w:rsidR="006D4398" w14:paraId="52FA8011" w14:textId="77777777" w:rsidTr="00374E3F">
        <w:tc>
          <w:tcPr>
            <w:tcW w:w="3015" w:type="dxa"/>
          </w:tcPr>
          <w:p w14:paraId="517D99E4" w14:textId="77777777" w:rsidR="006D4398" w:rsidRPr="00EF4D2D" w:rsidRDefault="006D4398" w:rsidP="00D12895">
            <w:pPr>
              <w:pStyle w:val="BodyText"/>
              <w:spacing w:line="266" w:lineRule="exact"/>
              <w:ind w:left="0"/>
              <w:rPr>
                <w:b/>
                <w:bCs/>
                <w:color w:val="000000" w:themeColor="text1"/>
                <w:sz w:val="20"/>
                <w:szCs w:val="20"/>
              </w:rPr>
            </w:pPr>
            <w:r w:rsidRPr="00EF4D2D">
              <w:rPr>
                <w:b/>
                <w:bCs/>
                <w:color w:val="000000" w:themeColor="text1"/>
                <w:sz w:val="20"/>
                <w:szCs w:val="20"/>
              </w:rPr>
              <w:t>Clinical</w:t>
            </w:r>
            <w:r w:rsidRPr="00EF4D2D">
              <w:rPr>
                <w:b/>
                <w:bCs/>
                <w:color w:val="000000" w:themeColor="text1"/>
                <w:spacing w:val="-4"/>
                <w:sz w:val="20"/>
                <w:szCs w:val="20"/>
              </w:rPr>
              <w:t xml:space="preserve"> </w:t>
            </w:r>
            <w:r w:rsidRPr="00EF4D2D">
              <w:rPr>
                <w:b/>
                <w:bCs/>
                <w:color w:val="000000" w:themeColor="text1"/>
                <w:sz w:val="20"/>
                <w:szCs w:val="20"/>
              </w:rPr>
              <w:t>fitness</w:t>
            </w:r>
            <w:r w:rsidRPr="00EF4D2D">
              <w:rPr>
                <w:b/>
                <w:bCs/>
                <w:color w:val="000000" w:themeColor="text1"/>
                <w:spacing w:val="-5"/>
                <w:sz w:val="20"/>
                <w:szCs w:val="20"/>
              </w:rPr>
              <w:t xml:space="preserve"> </w:t>
            </w:r>
          </w:p>
        </w:tc>
        <w:tc>
          <w:tcPr>
            <w:tcW w:w="6335" w:type="dxa"/>
          </w:tcPr>
          <w:p w14:paraId="5A859D90" w14:textId="3B752A97" w:rsidR="006D4398" w:rsidRPr="00D73716" w:rsidRDefault="006D4398" w:rsidP="00D73716">
            <w:pPr>
              <w:rPr>
                <w:color w:val="FF40FF"/>
                <w:sz w:val="21"/>
                <w:szCs w:val="21"/>
              </w:rPr>
            </w:pPr>
            <w:r w:rsidRPr="00D73716">
              <w:rPr>
                <w:color w:val="FF40FF"/>
                <w:sz w:val="21"/>
                <w:szCs w:val="21"/>
              </w:rPr>
              <w:t>[Insert relevant details on the patient’s clinical fitness, including</w:t>
            </w:r>
            <w:r w:rsidR="00CC1EF9" w:rsidRPr="00D73716">
              <w:rPr>
                <w:color w:val="FF40FF"/>
                <w:sz w:val="21"/>
                <w:szCs w:val="21"/>
              </w:rPr>
              <w:t>,</w:t>
            </w:r>
            <w:r w:rsidRPr="00D73716">
              <w:rPr>
                <w:color w:val="FF40FF"/>
                <w:sz w:val="21"/>
                <w:szCs w:val="21"/>
              </w:rPr>
              <w:t xml:space="preserve"> but not limited to</w:t>
            </w:r>
            <w:r w:rsidR="00CC1EF9" w:rsidRPr="00D73716">
              <w:rPr>
                <w:color w:val="FF40FF"/>
                <w:sz w:val="21"/>
                <w:szCs w:val="21"/>
              </w:rPr>
              <w:t>,</w:t>
            </w:r>
            <w:r w:rsidRPr="00D73716">
              <w:rPr>
                <w:color w:val="FF40FF"/>
                <w:sz w:val="21"/>
                <w:szCs w:val="21"/>
              </w:rPr>
              <w:t xml:space="preserve"> ECOG performance status</w:t>
            </w:r>
            <w:r w:rsidR="00CC1EF9" w:rsidRPr="00D73716">
              <w:rPr>
                <w:color w:val="FF40FF"/>
                <w:sz w:val="21"/>
                <w:szCs w:val="21"/>
              </w:rPr>
              <w:t xml:space="preserve"> and/or </w:t>
            </w:r>
            <w:r w:rsidRPr="00D73716">
              <w:rPr>
                <w:color w:val="FF40FF"/>
                <w:sz w:val="21"/>
                <w:szCs w:val="21"/>
              </w:rPr>
              <w:t>organ function indicators]</w:t>
            </w:r>
          </w:p>
        </w:tc>
      </w:tr>
      <w:tr w:rsidR="00394AB5" w14:paraId="71507CE2" w14:textId="77777777" w:rsidTr="005156C6">
        <w:trPr>
          <w:trHeight w:val="1232"/>
        </w:trPr>
        <w:tc>
          <w:tcPr>
            <w:tcW w:w="3015" w:type="dxa"/>
          </w:tcPr>
          <w:p w14:paraId="51249EDD" w14:textId="6DECA8BD" w:rsidR="00394AB5" w:rsidRDefault="00394AB5" w:rsidP="00D12895">
            <w:pPr>
              <w:pStyle w:val="BodyText"/>
              <w:spacing w:line="266" w:lineRule="exact"/>
              <w:ind w:left="0"/>
              <w:rPr>
                <w:b/>
                <w:bCs/>
                <w:color w:val="000000" w:themeColor="text1"/>
                <w:sz w:val="20"/>
                <w:szCs w:val="20"/>
              </w:rPr>
            </w:pPr>
            <w:r w:rsidRPr="00394AB5">
              <w:rPr>
                <w:b/>
                <w:bCs/>
                <w:color w:val="000000" w:themeColor="text1"/>
                <w:sz w:val="20"/>
                <w:szCs w:val="20"/>
              </w:rPr>
              <w:t xml:space="preserve">Your professional opinion of the patient's likely prognosis or disease progression </w:t>
            </w:r>
            <w:r w:rsidR="00977BCE">
              <w:rPr>
                <w:b/>
                <w:bCs/>
                <w:color w:val="000000" w:themeColor="text1"/>
                <w:sz w:val="20"/>
                <w:szCs w:val="20"/>
              </w:rPr>
              <w:t xml:space="preserve">if they are not treated </w:t>
            </w:r>
            <w:r w:rsidRPr="00394AB5">
              <w:rPr>
                <w:b/>
                <w:bCs/>
                <w:color w:val="000000" w:themeColor="text1"/>
                <w:sz w:val="20"/>
                <w:szCs w:val="20"/>
              </w:rPr>
              <w:t xml:space="preserve">with </w:t>
            </w:r>
            <w:r w:rsidR="00317DE2">
              <w:rPr>
                <w:b/>
                <w:bCs/>
                <w:color w:val="000000" w:themeColor="text1"/>
                <w:sz w:val="20"/>
                <w:szCs w:val="20"/>
              </w:rPr>
              <w:t>TECELRA</w:t>
            </w:r>
          </w:p>
        </w:tc>
        <w:tc>
          <w:tcPr>
            <w:tcW w:w="6335" w:type="dxa"/>
          </w:tcPr>
          <w:p w14:paraId="04EF7462" w14:textId="00D7A0E4" w:rsidR="00394AB5" w:rsidRPr="00D73716" w:rsidRDefault="00394AB5" w:rsidP="00D73716">
            <w:pPr>
              <w:rPr>
                <w:color w:val="FF40FF"/>
                <w:sz w:val="21"/>
                <w:szCs w:val="21"/>
              </w:rPr>
            </w:pPr>
            <w:r w:rsidRPr="00D73716">
              <w:rPr>
                <w:color w:val="FF40FF"/>
                <w:sz w:val="21"/>
                <w:szCs w:val="21"/>
              </w:rPr>
              <w:t xml:space="preserve">[Insert your professional opinion of the patient's likely prognosis or disease progression </w:t>
            </w:r>
            <w:r w:rsidR="00977BCE">
              <w:rPr>
                <w:color w:val="FF40FF"/>
                <w:sz w:val="21"/>
                <w:szCs w:val="21"/>
              </w:rPr>
              <w:t>if they are not treated</w:t>
            </w:r>
            <w:r w:rsidRPr="00D73716">
              <w:rPr>
                <w:color w:val="FF40FF"/>
                <w:sz w:val="21"/>
                <w:szCs w:val="21"/>
              </w:rPr>
              <w:t xml:space="preserve"> with </w:t>
            </w:r>
            <w:r w:rsidR="00317DE2">
              <w:rPr>
                <w:color w:val="FF40FF"/>
                <w:sz w:val="21"/>
                <w:szCs w:val="21"/>
              </w:rPr>
              <w:t>TECELRA</w:t>
            </w:r>
            <w:r w:rsidRPr="00D73716">
              <w:rPr>
                <w:color w:val="FF40FF"/>
                <w:sz w:val="21"/>
                <w:szCs w:val="21"/>
              </w:rPr>
              <w:t>]</w:t>
            </w:r>
          </w:p>
        </w:tc>
      </w:tr>
    </w:tbl>
    <w:p w14:paraId="6FB518A2" w14:textId="06DB6CBB" w:rsidR="006D4398" w:rsidRPr="00977BCE" w:rsidRDefault="008B406B" w:rsidP="006D4398">
      <w:pPr>
        <w:rPr>
          <w:sz w:val="16"/>
          <w:szCs w:val="16"/>
        </w:rPr>
      </w:pPr>
      <w:r>
        <w:rPr>
          <w:sz w:val="16"/>
          <w:szCs w:val="16"/>
        </w:rPr>
        <w:t xml:space="preserve">ECOG=Eastern Cooperative Oncology Group; </w:t>
      </w:r>
      <w:r w:rsidR="00597DF4">
        <w:rPr>
          <w:sz w:val="16"/>
          <w:szCs w:val="16"/>
        </w:rPr>
        <w:t xml:space="preserve">FDA=US Food and Drug Administration; HLA=human leukocyte antigen; </w:t>
      </w:r>
      <w:r w:rsidR="00AE6E4C" w:rsidRPr="00977BCE">
        <w:rPr>
          <w:sz w:val="16"/>
          <w:szCs w:val="16"/>
        </w:rPr>
        <w:t>ICD-10-CM=</w:t>
      </w:r>
      <w:r w:rsidR="00AE6E4C" w:rsidRPr="00E45954">
        <w:rPr>
          <w:i/>
          <w:iCs/>
          <w:sz w:val="16"/>
          <w:szCs w:val="16"/>
        </w:rPr>
        <w:t>International Classification of Diseases, Tenth Revision, Clinical Modification</w:t>
      </w:r>
      <w:r w:rsidR="00597DF4">
        <w:rPr>
          <w:sz w:val="16"/>
          <w:szCs w:val="16"/>
        </w:rPr>
        <w:t>; MAGE-A4=melanoma-associated antigen A4.</w:t>
      </w:r>
    </w:p>
    <w:p w14:paraId="334EE78A" w14:textId="77777777" w:rsidR="00534992" w:rsidRPr="00FB5CC4" w:rsidRDefault="00534992" w:rsidP="00534992">
      <w:pPr>
        <w:rPr>
          <w:sz w:val="21"/>
          <w:szCs w:val="21"/>
        </w:rPr>
      </w:pPr>
    </w:p>
    <w:p w14:paraId="53346845" w14:textId="77777777" w:rsidR="00BF7374" w:rsidRDefault="00BF7374" w:rsidP="00B72C84">
      <w:pPr>
        <w:rPr>
          <w:sz w:val="21"/>
          <w:szCs w:val="21"/>
        </w:rPr>
      </w:pPr>
    </w:p>
    <w:p w14:paraId="18FBD950" w14:textId="77777777" w:rsidR="00BF7374" w:rsidRDefault="00BF7374" w:rsidP="00B72C84">
      <w:pPr>
        <w:rPr>
          <w:sz w:val="21"/>
          <w:szCs w:val="21"/>
        </w:rPr>
      </w:pPr>
    </w:p>
    <w:p w14:paraId="64B697E1" w14:textId="77777777" w:rsidR="00756C13" w:rsidRDefault="00756C13" w:rsidP="00B72C84">
      <w:pPr>
        <w:rPr>
          <w:sz w:val="21"/>
          <w:szCs w:val="21"/>
        </w:rPr>
      </w:pPr>
    </w:p>
    <w:p w14:paraId="68A4E0E3" w14:textId="2DBDC836" w:rsidR="00394AB5" w:rsidRDefault="00917455" w:rsidP="00B72C84">
      <w:pPr>
        <w:rPr>
          <w:sz w:val="21"/>
          <w:szCs w:val="21"/>
        </w:rPr>
      </w:pPr>
      <w:r w:rsidRPr="00917455">
        <w:rPr>
          <w:sz w:val="21"/>
          <w:szCs w:val="21"/>
        </w:rPr>
        <w:lastRenderedPageBreak/>
        <w:t xml:space="preserve">Rationale for </w:t>
      </w:r>
      <w:r w:rsidR="00143E48">
        <w:rPr>
          <w:sz w:val="21"/>
          <w:szCs w:val="21"/>
        </w:rPr>
        <w:t>t</w:t>
      </w:r>
      <w:r w:rsidRPr="00917455">
        <w:rPr>
          <w:sz w:val="21"/>
          <w:szCs w:val="21"/>
        </w:rPr>
        <w:t>reatment</w:t>
      </w:r>
      <w:r w:rsidR="00143E48">
        <w:rPr>
          <w:sz w:val="21"/>
          <w:szCs w:val="21"/>
        </w:rPr>
        <w:t xml:space="preserve"> </w:t>
      </w:r>
    </w:p>
    <w:p w14:paraId="71851320" w14:textId="36221BBA" w:rsidR="00B72C84" w:rsidRPr="00FB5CC4" w:rsidRDefault="00143E48" w:rsidP="00B72C84">
      <w:pPr>
        <w:rPr>
          <w:color w:val="CC00CC"/>
          <w:sz w:val="21"/>
          <w:szCs w:val="21"/>
        </w:rPr>
      </w:pPr>
      <w:r w:rsidRPr="00D73716">
        <w:rPr>
          <w:color w:val="FF40FF"/>
          <w:sz w:val="21"/>
          <w:szCs w:val="21"/>
        </w:rPr>
        <w:t>[</w:t>
      </w:r>
      <w:r w:rsidR="00394AB5" w:rsidRPr="00D73716">
        <w:rPr>
          <w:color w:val="FF40FF"/>
          <w:sz w:val="21"/>
          <w:szCs w:val="21"/>
        </w:rPr>
        <w:t>Summarize clinical rationale for treatment, including supporting evidence from:</w:t>
      </w:r>
    </w:p>
    <w:p w14:paraId="193B9CF3" w14:textId="1472DD64" w:rsidR="00B72C84" w:rsidRPr="00D73716" w:rsidRDefault="00B72C84" w:rsidP="00D73716">
      <w:pPr>
        <w:pStyle w:val="ListParagraph"/>
        <w:numPr>
          <w:ilvl w:val="0"/>
          <w:numId w:val="1"/>
        </w:numPr>
        <w:rPr>
          <w:color w:val="FF40FF"/>
          <w:sz w:val="21"/>
          <w:szCs w:val="21"/>
        </w:rPr>
      </w:pPr>
      <w:r w:rsidRPr="00D73716">
        <w:rPr>
          <w:color w:val="FF40FF"/>
          <w:sz w:val="21"/>
          <w:szCs w:val="21"/>
        </w:rPr>
        <w:t xml:space="preserve">Prescribing Information </w:t>
      </w:r>
    </w:p>
    <w:p w14:paraId="3116B52A" w14:textId="710CF91B" w:rsidR="006F5AB3" w:rsidRPr="00D73716" w:rsidRDefault="006F5AB3" w:rsidP="00B72C84">
      <w:pPr>
        <w:pStyle w:val="ListParagraph"/>
        <w:numPr>
          <w:ilvl w:val="0"/>
          <w:numId w:val="1"/>
        </w:numPr>
        <w:rPr>
          <w:color w:val="FF40FF"/>
          <w:sz w:val="21"/>
          <w:szCs w:val="21"/>
        </w:rPr>
      </w:pPr>
      <w:r w:rsidRPr="00D73716">
        <w:rPr>
          <w:color w:val="FF40FF"/>
          <w:sz w:val="21"/>
          <w:szCs w:val="21"/>
        </w:rPr>
        <w:t xml:space="preserve">Treatment guidelines and/or </w:t>
      </w:r>
      <w:r w:rsidR="003531C7" w:rsidRPr="00D73716">
        <w:rPr>
          <w:color w:val="FF40FF"/>
          <w:sz w:val="21"/>
          <w:szCs w:val="21"/>
        </w:rPr>
        <w:t>drug compendia</w:t>
      </w:r>
    </w:p>
    <w:p w14:paraId="25177030" w14:textId="0ADFE6FA" w:rsidR="00A70F48" w:rsidRPr="00D73716" w:rsidRDefault="00B72C84" w:rsidP="00B72C84">
      <w:pPr>
        <w:pStyle w:val="ListParagraph"/>
        <w:numPr>
          <w:ilvl w:val="0"/>
          <w:numId w:val="1"/>
        </w:numPr>
        <w:rPr>
          <w:color w:val="FF40FF"/>
          <w:sz w:val="21"/>
          <w:szCs w:val="21"/>
        </w:rPr>
      </w:pPr>
      <w:r w:rsidRPr="00D73716">
        <w:rPr>
          <w:color w:val="FF40FF"/>
          <w:sz w:val="21"/>
          <w:szCs w:val="21"/>
        </w:rPr>
        <w:t>Peer-reviewed literature</w:t>
      </w:r>
      <w:r w:rsidR="003531C7" w:rsidRPr="00D73716">
        <w:rPr>
          <w:color w:val="FF40FF"/>
          <w:sz w:val="21"/>
          <w:szCs w:val="21"/>
        </w:rPr>
        <w:t>]</w:t>
      </w:r>
    </w:p>
    <w:p w14:paraId="365242D1" w14:textId="598FD87B" w:rsidR="00B72C84" w:rsidRPr="00FB5CC4" w:rsidRDefault="00B72C84" w:rsidP="001274B8">
      <w:pPr>
        <w:rPr>
          <w:sz w:val="21"/>
          <w:szCs w:val="21"/>
        </w:rPr>
      </w:pPr>
    </w:p>
    <w:p w14:paraId="35FD1F11" w14:textId="69129DA1" w:rsidR="005443AD" w:rsidRPr="00FB5CC4" w:rsidRDefault="00374E3F" w:rsidP="001274B8">
      <w:pPr>
        <w:rPr>
          <w:sz w:val="21"/>
          <w:szCs w:val="21"/>
        </w:rPr>
      </w:pPr>
      <w:r>
        <w:t xml:space="preserve">Given the </w:t>
      </w:r>
      <w:r w:rsidR="00597DF4">
        <w:t>above</w:t>
      </w:r>
      <w:r>
        <w:t xml:space="preserve"> details and the accompanying documentation, </w:t>
      </w:r>
      <w:r w:rsidR="006F5AB3" w:rsidRPr="00FB5CC4">
        <w:rPr>
          <w:sz w:val="21"/>
          <w:szCs w:val="21"/>
        </w:rPr>
        <w:t xml:space="preserve">I believe </w:t>
      </w:r>
      <w:r w:rsidR="00317DE2">
        <w:rPr>
          <w:sz w:val="21"/>
          <w:szCs w:val="21"/>
        </w:rPr>
        <w:t>TECELRA</w:t>
      </w:r>
      <w:r w:rsidR="005863DF">
        <w:rPr>
          <w:sz w:val="21"/>
          <w:szCs w:val="21"/>
        </w:rPr>
        <w:t xml:space="preserve"> </w:t>
      </w:r>
      <w:r w:rsidR="006F5AB3" w:rsidRPr="00FB5CC4">
        <w:rPr>
          <w:sz w:val="21"/>
          <w:szCs w:val="21"/>
        </w:rPr>
        <w:t xml:space="preserve">is medically necessary </w:t>
      </w:r>
      <w:r>
        <w:rPr>
          <w:sz w:val="21"/>
          <w:szCs w:val="21"/>
        </w:rPr>
        <w:t>and appropriate and should be authorized for my patient</w:t>
      </w:r>
      <w:r w:rsidR="006F5AB3" w:rsidRPr="00FB5CC4">
        <w:rPr>
          <w:sz w:val="21"/>
          <w:szCs w:val="21"/>
        </w:rPr>
        <w:t xml:space="preserve">. </w:t>
      </w:r>
      <w:r w:rsidR="00BA5DC4" w:rsidRPr="00FB5CC4">
        <w:rPr>
          <w:sz w:val="21"/>
          <w:szCs w:val="21"/>
        </w:rPr>
        <w:t>If you have further questions regarding this patient’s current medical status, please do not hesitate to contact my office</w:t>
      </w:r>
      <w:r w:rsidR="005863DF">
        <w:rPr>
          <w:sz w:val="21"/>
          <w:szCs w:val="21"/>
        </w:rPr>
        <w:t xml:space="preserve"> at </w:t>
      </w:r>
      <w:r w:rsidR="005863DF" w:rsidRPr="00D73716">
        <w:rPr>
          <w:color w:val="FF40FF"/>
          <w:sz w:val="21"/>
          <w:szCs w:val="21"/>
        </w:rPr>
        <w:t>[</w:t>
      </w:r>
      <w:r w:rsidR="005863DF">
        <w:rPr>
          <w:color w:val="FF40FF"/>
          <w:sz w:val="21"/>
          <w:szCs w:val="21"/>
        </w:rPr>
        <w:t>phone number]</w:t>
      </w:r>
      <w:r w:rsidR="005863DF">
        <w:rPr>
          <w:sz w:val="21"/>
          <w:szCs w:val="21"/>
        </w:rPr>
        <w:t>.</w:t>
      </w:r>
      <w:r w:rsidR="00BA5DC4" w:rsidRPr="00FB5CC4">
        <w:rPr>
          <w:sz w:val="21"/>
          <w:szCs w:val="21"/>
        </w:rPr>
        <w:t xml:space="preserve"> </w:t>
      </w:r>
    </w:p>
    <w:p w14:paraId="56457D01" w14:textId="42D982D4" w:rsidR="00720E2B" w:rsidRPr="00FB5CC4" w:rsidRDefault="00720E2B" w:rsidP="001274B8">
      <w:pPr>
        <w:rPr>
          <w:sz w:val="21"/>
          <w:szCs w:val="21"/>
        </w:rPr>
      </w:pPr>
    </w:p>
    <w:p w14:paraId="2D7CD556" w14:textId="4B331BC1" w:rsidR="00720E2B" w:rsidRPr="00FB5CC4" w:rsidRDefault="00720E2B" w:rsidP="003531C7">
      <w:pPr>
        <w:rPr>
          <w:sz w:val="21"/>
          <w:szCs w:val="21"/>
        </w:rPr>
      </w:pPr>
      <w:r w:rsidRPr="00FB5CC4">
        <w:rPr>
          <w:sz w:val="21"/>
          <w:szCs w:val="21"/>
        </w:rPr>
        <w:t>Please note that our treatment cente</w:t>
      </w:r>
      <w:r w:rsidRPr="00D73716">
        <w:rPr>
          <w:color w:val="000000" w:themeColor="text1"/>
          <w:sz w:val="21"/>
          <w:szCs w:val="21"/>
        </w:rPr>
        <w:t>r</w:t>
      </w:r>
      <w:r w:rsidR="003531C7" w:rsidRPr="00D73716">
        <w:rPr>
          <w:color w:val="000000" w:themeColor="text1"/>
          <w:sz w:val="21"/>
          <w:szCs w:val="21"/>
        </w:rPr>
        <w:t>,</w:t>
      </w:r>
      <w:r w:rsidRPr="00D73716">
        <w:rPr>
          <w:color w:val="000000" w:themeColor="text1"/>
          <w:sz w:val="21"/>
          <w:szCs w:val="21"/>
        </w:rPr>
        <w:t xml:space="preserve"> </w:t>
      </w:r>
      <w:r w:rsidRPr="00D73716">
        <w:rPr>
          <w:color w:val="FF40FF"/>
          <w:sz w:val="21"/>
          <w:szCs w:val="21"/>
        </w:rPr>
        <w:t>[treatment center]</w:t>
      </w:r>
      <w:r w:rsidR="003531C7" w:rsidRPr="00D73716">
        <w:rPr>
          <w:color w:val="000000" w:themeColor="text1"/>
          <w:sz w:val="21"/>
          <w:szCs w:val="21"/>
        </w:rPr>
        <w:t>,</w:t>
      </w:r>
      <w:r w:rsidRPr="00D73716">
        <w:rPr>
          <w:color w:val="000000" w:themeColor="text1"/>
          <w:sz w:val="21"/>
          <w:szCs w:val="21"/>
        </w:rPr>
        <w:t xml:space="preserve"> </w:t>
      </w:r>
      <w:r w:rsidRPr="00FB5CC4">
        <w:rPr>
          <w:color w:val="000000" w:themeColor="text1"/>
          <w:sz w:val="21"/>
          <w:szCs w:val="21"/>
        </w:rPr>
        <w:t xml:space="preserve">is </w:t>
      </w:r>
      <w:r w:rsidR="0096418F">
        <w:rPr>
          <w:sz w:val="21"/>
          <w:szCs w:val="21"/>
        </w:rPr>
        <w:t>authorized</w:t>
      </w:r>
      <w:r w:rsidR="0096418F" w:rsidRPr="00FB5CC4">
        <w:rPr>
          <w:sz w:val="21"/>
          <w:szCs w:val="21"/>
        </w:rPr>
        <w:t xml:space="preserve"> </w:t>
      </w:r>
      <w:r w:rsidRPr="00FB5CC4">
        <w:rPr>
          <w:sz w:val="21"/>
          <w:szCs w:val="21"/>
        </w:rPr>
        <w:t xml:space="preserve">to administer </w:t>
      </w:r>
      <w:r w:rsidR="00317DE2">
        <w:rPr>
          <w:sz w:val="21"/>
          <w:szCs w:val="21"/>
        </w:rPr>
        <w:t>TECELRA</w:t>
      </w:r>
      <w:r w:rsidR="003531C7" w:rsidRPr="003531C7">
        <w:rPr>
          <w:sz w:val="21"/>
          <w:szCs w:val="21"/>
        </w:rPr>
        <w:t>.</w:t>
      </w:r>
    </w:p>
    <w:p w14:paraId="1AB7EF2A" w14:textId="77777777" w:rsidR="005443AD" w:rsidRDefault="005443AD" w:rsidP="001274B8">
      <w:pPr>
        <w:rPr>
          <w:sz w:val="21"/>
          <w:szCs w:val="21"/>
        </w:rPr>
      </w:pPr>
    </w:p>
    <w:p w14:paraId="17CC7B52" w14:textId="08EE302C" w:rsidR="00374E3F" w:rsidRPr="00213987" w:rsidRDefault="00374E3F" w:rsidP="00374E3F">
      <w:pPr>
        <w:pStyle w:val="BodyText"/>
        <w:spacing w:before="1"/>
        <w:ind w:left="0" w:right="180"/>
        <w:rPr>
          <w:sz w:val="21"/>
          <w:szCs w:val="21"/>
        </w:rPr>
      </w:pPr>
      <w:r w:rsidRPr="008E26B9">
        <w:rPr>
          <w:color w:val="FF40FF"/>
          <w:sz w:val="21"/>
          <w:szCs w:val="21"/>
        </w:rPr>
        <w:t>[Given the urgent nature of this request,]</w:t>
      </w:r>
      <w:r w:rsidRPr="008E26B9">
        <w:rPr>
          <w:sz w:val="21"/>
          <w:szCs w:val="21"/>
        </w:rPr>
        <w:t xml:space="preserve"> please provide a timely authorization. </w:t>
      </w:r>
      <w:r w:rsidRPr="00FB5CC4">
        <w:rPr>
          <w:sz w:val="21"/>
          <w:szCs w:val="21"/>
        </w:rPr>
        <w:t>If you have further questions regarding this patient’s current medical status, please do not hesitate to contact my office</w:t>
      </w:r>
      <w:r>
        <w:rPr>
          <w:sz w:val="21"/>
          <w:szCs w:val="21"/>
        </w:rPr>
        <w:t xml:space="preserve"> at </w:t>
      </w:r>
      <w:r w:rsidRPr="00D73716">
        <w:rPr>
          <w:color w:val="FF40FF"/>
          <w:sz w:val="21"/>
          <w:szCs w:val="21"/>
        </w:rPr>
        <w:t>[</w:t>
      </w:r>
      <w:r>
        <w:rPr>
          <w:color w:val="FF40FF"/>
          <w:sz w:val="21"/>
          <w:szCs w:val="21"/>
        </w:rPr>
        <w:t>phone number]</w:t>
      </w:r>
      <w:r>
        <w:rPr>
          <w:sz w:val="21"/>
          <w:szCs w:val="21"/>
        </w:rPr>
        <w:t>.</w:t>
      </w:r>
    </w:p>
    <w:p w14:paraId="692050E6" w14:textId="77777777" w:rsidR="00374E3F" w:rsidRPr="00FB5CC4" w:rsidRDefault="00374E3F" w:rsidP="001274B8">
      <w:pPr>
        <w:rPr>
          <w:sz w:val="21"/>
          <w:szCs w:val="21"/>
        </w:rPr>
      </w:pPr>
    </w:p>
    <w:p w14:paraId="26114C0A" w14:textId="0D4356AD" w:rsidR="00CA7A93" w:rsidRPr="00FB5CC4" w:rsidRDefault="006F5AB3" w:rsidP="001274B8">
      <w:pPr>
        <w:rPr>
          <w:sz w:val="21"/>
          <w:szCs w:val="21"/>
        </w:rPr>
      </w:pPr>
      <w:r w:rsidRPr="00FB5CC4">
        <w:rPr>
          <w:sz w:val="21"/>
          <w:szCs w:val="21"/>
        </w:rPr>
        <w:t>Sincerely,</w:t>
      </w:r>
    </w:p>
    <w:p w14:paraId="6B60D33B" w14:textId="7C947AF6" w:rsidR="006F5AB3" w:rsidRPr="00FB5CC4" w:rsidRDefault="006F5AB3" w:rsidP="001274B8">
      <w:pPr>
        <w:rPr>
          <w:sz w:val="21"/>
          <w:szCs w:val="21"/>
        </w:rPr>
      </w:pPr>
    </w:p>
    <w:p w14:paraId="327917FD" w14:textId="200FC62F" w:rsidR="006F5AB3" w:rsidRPr="00D73716" w:rsidRDefault="00BA5DC4" w:rsidP="006F5AB3">
      <w:pPr>
        <w:rPr>
          <w:color w:val="FF40FF"/>
          <w:sz w:val="21"/>
          <w:szCs w:val="21"/>
        </w:rPr>
      </w:pPr>
      <w:r w:rsidRPr="00D73716">
        <w:rPr>
          <w:color w:val="FF40FF"/>
          <w:sz w:val="21"/>
          <w:szCs w:val="21"/>
        </w:rPr>
        <w:t>[</w:t>
      </w:r>
      <w:r w:rsidR="006F5AB3" w:rsidRPr="00D73716">
        <w:rPr>
          <w:color w:val="FF40FF"/>
          <w:sz w:val="21"/>
          <w:szCs w:val="21"/>
        </w:rPr>
        <w:t>Provider Name and Signature</w:t>
      </w:r>
      <w:r w:rsidRPr="00D73716">
        <w:rPr>
          <w:color w:val="FF40FF"/>
          <w:sz w:val="21"/>
          <w:szCs w:val="21"/>
        </w:rPr>
        <w:t>]</w:t>
      </w:r>
    </w:p>
    <w:p w14:paraId="6A9A166E" w14:textId="37B12B2E" w:rsidR="006F5AB3" w:rsidRPr="00D73716" w:rsidRDefault="00BA5DC4" w:rsidP="00BA5DC4">
      <w:pPr>
        <w:rPr>
          <w:color w:val="FF40FF"/>
          <w:sz w:val="21"/>
          <w:szCs w:val="21"/>
        </w:rPr>
      </w:pPr>
      <w:r w:rsidRPr="00D73716">
        <w:rPr>
          <w:color w:val="FF40FF"/>
          <w:sz w:val="21"/>
          <w:szCs w:val="21"/>
        </w:rPr>
        <w:t>[</w:t>
      </w:r>
      <w:r w:rsidR="006F5AB3" w:rsidRPr="00D73716">
        <w:rPr>
          <w:color w:val="FF40FF"/>
          <w:sz w:val="21"/>
          <w:szCs w:val="21"/>
        </w:rPr>
        <w:t xml:space="preserve">Provider </w:t>
      </w:r>
      <w:r w:rsidR="00383A55" w:rsidRPr="00D73716">
        <w:rPr>
          <w:color w:val="FF40FF"/>
          <w:sz w:val="21"/>
          <w:szCs w:val="21"/>
        </w:rPr>
        <w:t>Identification Number</w:t>
      </w:r>
      <w:r w:rsidRPr="00D73716">
        <w:rPr>
          <w:color w:val="FF40FF"/>
          <w:sz w:val="21"/>
          <w:szCs w:val="21"/>
        </w:rPr>
        <w:t>]</w:t>
      </w:r>
      <w:r w:rsidR="00383A55" w:rsidRPr="00D73716">
        <w:rPr>
          <w:color w:val="FF40FF"/>
          <w:sz w:val="21"/>
          <w:szCs w:val="21"/>
        </w:rPr>
        <w:t xml:space="preserve"> </w:t>
      </w:r>
    </w:p>
    <w:p w14:paraId="22D24F51" w14:textId="3101825B" w:rsidR="00917455" w:rsidRPr="00D73716" w:rsidRDefault="00917455" w:rsidP="00BA5DC4">
      <w:pPr>
        <w:rPr>
          <w:color w:val="FF40FF"/>
          <w:sz w:val="21"/>
          <w:szCs w:val="21"/>
        </w:rPr>
      </w:pPr>
      <w:r w:rsidRPr="00D73716">
        <w:rPr>
          <w:color w:val="FF40FF"/>
          <w:sz w:val="21"/>
          <w:szCs w:val="21"/>
        </w:rPr>
        <w:t>[Treatment Center Name and Address]</w:t>
      </w:r>
    </w:p>
    <w:p w14:paraId="11BB2195" w14:textId="77777777" w:rsidR="00720E2B" w:rsidRPr="00FB5CC4" w:rsidRDefault="00720E2B" w:rsidP="00720E2B">
      <w:pPr>
        <w:rPr>
          <w:sz w:val="21"/>
          <w:szCs w:val="21"/>
        </w:rPr>
      </w:pPr>
    </w:p>
    <w:p w14:paraId="5F537BE6" w14:textId="77777777" w:rsidR="00720E2B" w:rsidRPr="00FB5CC4" w:rsidRDefault="00720E2B" w:rsidP="00720E2B">
      <w:pPr>
        <w:rPr>
          <w:sz w:val="21"/>
          <w:szCs w:val="21"/>
        </w:rPr>
      </w:pPr>
    </w:p>
    <w:p w14:paraId="7DA37AAD" w14:textId="5A67C96F" w:rsidR="00032D6C" w:rsidRPr="00D73716" w:rsidRDefault="00FC003E">
      <w:pPr>
        <w:rPr>
          <w:color w:val="FF40FF"/>
          <w:sz w:val="21"/>
          <w:szCs w:val="21"/>
        </w:rPr>
      </w:pPr>
      <w:r>
        <w:rPr>
          <w:sz w:val="21"/>
          <w:szCs w:val="21"/>
        </w:rPr>
        <w:t>Attachments</w:t>
      </w:r>
      <w:r w:rsidR="00AE6E4C">
        <w:rPr>
          <w:sz w:val="21"/>
          <w:szCs w:val="21"/>
        </w:rPr>
        <w:t>:</w:t>
      </w:r>
      <w:r w:rsidR="00917455" w:rsidRPr="00917455">
        <w:rPr>
          <w:color w:val="CC00CC"/>
          <w:sz w:val="21"/>
          <w:szCs w:val="21"/>
        </w:rPr>
        <w:t xml:space="preserve"> </w:t>
      </w:r>
      <w:r w:rsidR="00917455" w:rsidRPr="00D73716">
        <w:rPr>
          <w:color w:val="FF40FF"/>
          <w:sz w:val="21"/>
          <w:szCs w:val="21"/>
        </w:rPr>
        <w:t xml:space="preserve">[Include full </w:t>
      </w:r>
      <w:r w:rsidR="00A37BB8">
        <w:rPr>
          <w:color w:val="FF40FF"/>
          <w:sz w:val="21"/>
          <w:szCs w:val="21"/>
        </w:rPr>
        <w:t xml:space="preserve">TECELRA </w:t>
      </w:r>
      <w:r w:rsidR="00917455" w:rsidRPr="00D73716">
        <w:rPr>
          <w:color w:val="FF40FF"/>
          <w:sz w:val="21"/>
          <w:szCs w:val="21"/>
        </w:rPr>
        <w:t xml:space="preserve">prescribing </w:t>
      </w:r>
      <w:r w:rsidR="00F92DB8">
        <w:rPr>
          <w:color w:val="FF40FF"/>
          <w:sz w:val="21"/>
          <w:szCs w:val="21"/>
        </w:rPr>
        <w:t>i</w:t>
      </w:r>
      <w:r w:rsidR="00917455" w:rsidRPr="00D73716">
        <w:rPr>
          <w:color w:val="FF40FF"/>
          <w:sz w:val="21"/>
          <w:szCs w:val="21"/>
        </w:rPr>
        <w:t>nformation and additional support noted above]</w:t>
      </w:r>
    </w:p>
    <w:p w14:paraId="2B1CE9F1" w14:textId="0F478876" w:rsidR="00A70F48" w:rsidRDefault="00A70F48">
      <w:pPr>
        <w:rPr>
          <w:color w:val="CC00CC"/>
          <w:sz w:val="21"/>
          <w:szCs w:val="21"/>
        </w:rPr>
      </w:pPr>
    </w:p>
    <w:p w14:paraId="25D3DF23" w14:textId="3A147176" w:rsidR="003531C7" w:rsidRDefault="003531C7" w:rsidP="00A225D4">
      <w:pPr>
        <w:pStyle w:val="Footer"/>
      </w:pPr>
    </w:p>
    <w:sectPr w:rsidR="003531C7" w:rsidSect="003029C8">
      <w:headerReference w:type="default" r:id="rId15"/>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756E0" w14:textId="77777777" w:rsidR="00316DE3" w:rsidRDefault="00316DE3" w:rsidP="00F254F4">
      <w:r>
        <w:separator/>
      </w:r>
    </w:p>
  </w:endnote>
  <w:endnote w:type="continuationSeparator" w:id="0">
    <w:p w14:paraId="3D4C5BE6" w14:textId="77777777" w:rsidR="00316DE3" w:rsidRDefault="00316DE3" w:rsidP="00F2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0BEE5" w14:textId="77777777" w:rsidR="00316DE3" w:rsidRDefault="00316DE3" w:rsidP="00F254F4">
      <w:r>
        <w:separator/>
      </w:r>
    </w:p>
  </w:footnote>
  <w:footnote w:type="continuationSeparator" w:id="0">
    <w:p w14:paraId="0C3A3945" w14:textId="77777777" w:rsidR="00316DE3" w:rsidRDefault="00316DE3" w:rsidP="00F25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CCFB7" w14:textId="3660A82B" w:rsidR="00FB5CC4" w:rsidRPr="00FB5CC4" w:rsidRDefault="00FB5CC4" w:rsidP="00FB5CC4">
    <w:pPr>
      <w:jc w:val="right"/>
      <w:rPr>
        <w:color w:val="000000"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52EFD"/>
    <w:multiLevelType w:val="hybridMultilevel"/>
    <w:tmpl w:val="C98C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31528"/>
    <w:multiLevelType w:val="hybridMultilevel"/>
    <w:tmpl w:val="78B433B8"/>
    <w:lvl w:ilvl="0" w:tplc="9EEAEDF6">
      <w:numFmt w:val="bullet"/>
      <w:lvlText w:val="—"/>
      <w:lvlJc w:val="left"/>
      <w:pPr>
        <w:ind w:left="1080" w:hanging="360"/>
      </w:pPr>
      <w:rPr>
        <w:rFonts w:ascii="Arial Narrow" w:eastAsia="Meiryo" w:hAnsi="Arial Narrow" w:cs="Meiryo"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F537D8"/>
    <w:multiLevelType w:val="hybridMultilevel"/>
    <w:tmpl w:val="FB8A6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EE6244"/>
    <w:multiLevelType w:val="hybridMultilevel"/>
    <w:tmpl w:val="273C95D8"/>
    <w:lvl w:ilvl="0" w:tplc="7A5825EA">
      <w:start w:val="1"/>
      <w:numFmt w:val="bullet"/>
      <w:lvlText w:val=""/>
      <w:lvlJc w:val="left"/>
      <w:pPr>
        <w:ind w:left="720" w:hanging="360"/>
      </w:pPr>
      <w:rPr>
        <w:rFonts w:ascii="Symbol" w:hAnsi="Symbol" w:hint="default"/>
        <w:color w:val="4472C4"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21950"/>
    <w:multiLevelType w:val="hybridMultilevel"/>
    <w:tmpl w:val="3580F562"/>
    <w:lvl w:ilvl="0" w:tplc="FFFFFFFF">
      <w:start w:val="1"/>
      <w:numFmt w:val="bullet"/>
      <w:lvlText w:val=""/>
      <w:lvlJc w:val="left"/>
      <w:pPr>
        <w:ind w:left="720" w:hanging="360"/>
      </w:pPr>
      <w:rPr>
        <w:rFonts w:ascii="Symbol" w:hAnsi="Symbol" w:hint="default"/>
        <w:color w:val="4472C4" w:themeColor="accent1"/>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D3E2B7C"/>
    <w:multiLevelType w:val="hybridMultilevel"/>
    <w:tmpl w:val="626054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6D8185F"/>
    <w:multiLevelType w:val="hybridMultilevel"/>
    <w:tmpl w:val="41A2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05EF3"/>
    <w:multiLevelType w:val="hybridMultilevel"/>
    <w:tmpl w:val="DA661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16751B"/>
    <w:multiLevelType w:val="hybridMultilevel"/>
    <w:tmpl w:val="A1BE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2A63B0"/>
    <w:multiLevelType w:val="hybridMultilevel"/>
    <w:tmpl w:val="6526EB9E"/>
    <w:lvl w:ilvl="0" w:tplc="7A64EE78">
      <w:numFmt w:val="bullet"/>
      <w:lvlText w:val="•"/>
      <w:lvlJc w:val="left"/>
      <w:pPr>
        <w:ind w:left="600" w:hanging="360"/>
      </w:pPr>
      <w:rPr>
        <w:rFonts w:ascii="Arial" w:eastAsia="Arial" w:hAnsi="Arial" w:cs="Arial" w:hint="default"/>
        <w:b w:val="0"/>
        <w:bCs w:val="0"/>
        <w:i w:val="0"/>
        <w:iCs w:val="0"/>
        <w:spacing w:val="0"/>
        <w:w w:val="130"/>
        <w:sz w:val="20"/>
        <w:szCs w:val="20"/>
        <w:lang w:val="en-US" w:eastAsia="en-US" w:bidi="ar-S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65ED0150"/>
    <w:multiLevelType w:val="hybridMultilevel"/>
    <w:tmpl w:val="13225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6D462A"/>
    <w:multiLevelType w:val="hybridMultilevel"/>
    <w:tmpl w:val="1478C4FA"/>
    <w:lvl w:ilvl="0" w:tplc="7A5825EA">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707268">
    <w:abstractNumId w:val="5"/>
  </w:num>
  <w:num w:numId="2" w16cid:durableId="2086223534">
    <w:abstractNumId w:val="0"/>
  </w:num>
  <w:num w:numId="3" w16cid:durableId="1458648193">
    <w:abstractNumId w:val="1"/>
  </w:num>
  <w:num w:numId="4" w16cid:durableId="1166016580">
    <w:abstractNumId w:val="11"/>
  </w:num>
  <w:num w:numId="5" w16cid:durableId="475226096">
    <w:abstractNumId w:val="3"/>
  </w:num>
  <w:num w:numId="6" w16cid:durableId="1375108812">
    <w:abstractNumId w:val="4"/>
  </w:num>
  <w:num w:numId="7" w16cid:durableId="1075279738">
    <w:abstractNumId w:val="7"/>
  </w:num>
  <w:num w:numId="8" w16cid:durableId="788471405">
    <w:abstractNumId w:val="10"/>
  </w:num>
  <w:num w:numId="9" w16cid:durableId="801995118">
    <w:abstractNumId w:val="6"/>
  </w:num>
  <w:num w:numId="10" w16cid:durableId="1409813563">
    <w:abstractNumId w:val="8"/>
  </w:num>
  <w:num w:numId="11" w16cid:durableId="907812139">
    <w:abstractNumId w:val="2"/>
  </w:num>
  <w:num w:numId="12" w16cid:durableId="560992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B8"/>
    <w:rsid w:val="000274AA"/>
    <w:rsid w:val="00032D6C"/>
    <w:rsid w:val="00086576"/>
    <w:rsid w:val="00094BBC"/>
    <w:rsid w:val="000B6991"/>
    <w:rsid w:val="000E007A"/>
    <w:rsid w:val="001162C2"/>
    <w:rsid w:val="00120DCD"/>
    <w:rsid w:val="00121FD1"/>
    <w:rsid w:val="00124107"/>
    <w:rsid w:val="00126A5B"/>
    <w:rsid w:val="001274B8"/>
    <w:rsid w:val="00133658"/>
    <w:rsid w:val="00143C9D"/>
    <w:rsid w:val="00143E48"/>
    <w:rsid w:val="001676F5"/>
    <w:rsid w:val="00172E54"/>
    <w:rsid w:val="00176F33"/>
    <w:rsid w:val="00184044"/>
    <w:rsid w:val="0018706B"/>
    <w:rsid w:val="001B22FB"/>
    <w:rsid w:val="001C64B8"/>
    <w:rsid w:val="00215D58"/>
    <w:rsid w:val="0026287F"/>
    <w:rsid w:val="00263078"/>
    <w:rsid w:val="002868DA"/>
    <w:rsid w:val="00286B8A"/>
    <w:rsid w:val="002B5493"/>
    <w:rsid w:val="002D7CDB"/>
    <w:rsid w:val="002E3992"/>
    <w:rsid w:val="003029C8"/>
    <w:rsid w:val="0031162A"/>
    <w:rsid w:val="00316DE3"/>
    <w:rsid w:val="00317DE2"/>
    <w:rsid w:val="00322D2B"/>
    <w:rsid w:val="0032797F"/>
    <w:rsid w:val="00337F7F"/>
    <w:rsid w:val="00342DE4"/>
    <w:rsid w:val="003458DB"/>
    <w:rsid w:val="00347859"/>
    <w:rsid w:val="003531C7"/>
    <w:rsid w:val="0036760D"/>
    <w:rsid w:val="00374E3F"/>
    <w:rsid w:val="00383A55"/>
    <w:rsid w:val="00391B1F"/>
    <w:rsid w:val="00394AB5"/>
    <w:rsid w:val="003D4DC2"/>
    <w:rsid w:val="003F006A"/>
    <w:rsid w:val="003F048B"/>
    <w:rsid w:val="00401E96"/>
    <w:rsid w:val="0040448B"/>
    <w:rsid w:val="00422EA2"/>
    <w:rsid w:val="00453E2B"/>
    <w:rsid w:val="00483B3C"/>
    <w:rsid w:val="004A4BFB"/>
    <w:rsid w:val="004D6A6D"/>
    <w:rsid w:val="00501DC3"/>
    <w:rsid w:val="005022F2"/>
    <w:rsid w:val="005156C6"/>
    <w:rsid w:val="00534992"/>
    <w:rsid w:val="0054199D"/>
    <w:rsid w:val="005443AD"/>
    <w:rsid w:val="0057412F"/>
    <w:rsid w:val="00582373"/>
    <w:rsid w:val="005863DF"/>
    <w:rsid w:val="005908C8"/>
    <w:rsid w:val="005925E1"/>
    <w:rsid w:val="00592DF8"/>
    <w:rsid w:val="00594C96"/>
    <w:rsid w:val="00597DF4"/>
    <w:rsid w:val="005A0114"/>
    <w:rsid w:val="005D206B"/>
    <w:rsid w:val="005F14F4"/>
    <w:rsid w:val="005F1ECA"/>
    <w:rsid w:val="005F579A"/>
    <w:rsid w:val="00605E6F"/>
    <w:rsid w:val="0063665C"/>
    <w:rsid w:val="0064251C"/>
    <w:rsid w:val="00644213"/>
    <w:rsid w:val="00677F00"/>
    <w:rsid w:val="00685287"/>
    <w:rsid w:val="006D0C2B"/>
    <w:rsid w:val="006D421E"/>
    <w:rsid w:val="006D4398"/>
    <w:rsid w:val="006D50D1"/>
    <w:rsid w:val="006E186A"/>
    <w:rsid w:val="006F5AB3"/>
    <w:rsid w:val="00720E2B"/>
    <w:rsid w:val="00723E9D"/>
    <w:rsid w:val="00756C13"/>
    <w:rsid w:val="0077480B"/>
    <w:rsid w:val="00797B62"/>
    <w:rsid w:val="007A22D2"/>
    <w:rsid w:val="007A29DD"/>
    <w:rsid w:val="007A48BD"/>
    <w:rsid w:val="007B7C01"/>
    <w:rsid w:val="007E629D"/>
    <w:rsid w:val="007F478A"/>
    <w:rsid w:val="007F6BB8"/>
    <w:rsid w:val="007F7B0E"/>
    <w:rsid w:val="008024AE"/>
    <w:rsid w:val="00803AE4"/>
    <w:rsid w:val="008065D0"/>
    <w:rsid w:val="008255A3"/>
    <w:rsid w:val="0082582E"/>
    <w:rsid w:val="00830AD9"/>
    <w:rsid w:val="00852B52"/>
    <w:rsid w:val="0087377D"/>
    <w:rsid w:val="00882B1D"/>
    <w:rsid w:val="008B406B"/>
    <w:rsid w:val="008D146B"/>
    <w:rsid w:val="008E61EF"/>
    <w:rsid w:val="008F0801"/>
    <w:rsid w:val="00917455"/>
    <w:rsid w:val="00923397"/>
    <w:rsid w:val="00941F76"/>
    <w:rsid w:val="00950B2E"/>
    <w:rsid w:val="009626F8"/>
    <w:rsid w:val="00963B9F"/>
    <w:rsid w:val="00964122"/>
    <w:rsid w:val="0096418F"/>
    <w:rsid w:val="00965B61"/>
    <w:rsid w:val="009666C7"/>
    <w:rsid w:val="0097282B"/>
    <w:rsid w:val="009753AE"/>
    <w:rsid w:val="00977BCE"/>
    <w:rsid w:val="0099526F"/>
    <w:rsid w:val="009A2C3C"/>
    <w:rsid w:val="009A3757"/>
    <w:rsid w:val="009A6C2B"/>
    <w:rsid w:val="009B01B8"/>
    <w:rsid w:val="009B7CC5"/>
    <w:rsid w:val="009C6D0E"/>
    <w:rsid w:val="009D6A23"/>
    <w:rsid w:val="009F0AE2"/>
    <w:rsid w:val="00A01A67"/>
    <w:rsid w:val="00A137D3"/>
    <w:rsid w:val="00A21B77"/>
    <w:rsid w:val="00A225D4"/>
    <w:rsid w:val="00A23625"/>
    <w:rsid w:val="00A26685"/>
    <w:rsid w:val="00A3150C"/>
    <w:rsid w:val="00A37BB8"/>
    <w:rsid w:val="00A53FDB"/>
    <w:rsid w:val="00A67DCE"/>
    <w:rsid w:val="00A70F48"/>
    <w:rsid w:val="00A77C44"/>
    <w:rsid w:val="00A82D30"/>
    <w:rsid w:val="00A9506D"/>
    <w:rsid w:val="00AB13C8"/>
    <w:rsid w:val="00AB51EB"/>
    <w:rsid w:val="00AD5259"/>
    <w:rsid w:val="00AE1DE4"/>
    <w:rsid w:val="00AE6E4C"/>
    <w:rsid w:val="00B1286B"/>
    <w:rsid w:val="00B30F14"/>
    <w:rsid w:val="00B31CAF"/>
    <w:rsid w:val="00B40FA2"/>
    <w:rsid w:val="00B51C4D"/>
    <w:rsid w:val="00B52297"/>
    <w:rsid w:val="00B72C84"/>
    <w:rsid w:val="00B85887"/>
    <w:rsid w:val="00BA5DC4"/>
    <w:rsid w:val="00BB3565"/>
    <w:rsid w:val="00BB36DE"/>
    <w:rsid w:val="00BC3338"/>
    <w:rsid w:val="00BD3718"/>
    <w:rsid w:val="00BD5AED"/>
    <w:rsid w:val="00BE3E74"/>
    <w:rsid w:val="00BE5509"/>
    <w:rsid w:val="00BF1A68"/>
    <w:rsid w:val="00BF7374"/>
    <w:rsid w:val="00BF7A89"/>
    <w:rsid w:val="00C12BEB"/>
    <w:rsid w:val="00C153DA"/>
    <w:rsid w:val="00C37274"/>
    <w:rsid w:val="00C435D9"/>
    <w:rsid w:val="00CA1D33"/>
    <w:rsid w:val="00CA7A93"/>
    <w:rsid w:val="00CB131B"/>
    <w:rsid w:val="00CB4492"/>
    <w:rsid w:val="00CC0DBB"/>
    <w:rsid w:val="00CC1EF9"/>
    <w:rsid w:val="00CF1EB1"/>
    <w:rsid w:val="00D017F0"/>
    <w:rsid w:val="00D24AC5"/>
    <w:rsid w:val="00D30F5A"/>
    <w:rsid w:val="00D368A5"/>
    <w:rsid w:val="00D42310"/>
    <w:rsid w:val="00D65C81"/>
    <w:rsid w:val="00D73716"/>
    <w:rsid w:val="00D83DEB"/>
    <w:rsid w:val="00D83EE3"/>
    <w:rsid w:val="00D90B7D"/>
    <w:rsid w:val="00D90C63"/>
    <w:rsid w:val="00DC6141"/>
    <w:rsid w:val="00DD46CA"/>
    <w:rsid w:val="00E05B88"/>
    <w:rsid w:val="00E36C20"/>
    <w:rsid w:val="00E4099F"/>
    <w:rsid w:val="00E45954"/>
    <w:rsid w:val="00E5660F"/>
    <w:rsid w:val="00E5679C"/>
    <w:rsid w:val="00E7140F"/>
    <w:rsid w:val="00E7729B"/>
    <w:rsid w:val="00E931CD"/>
    <w:rsid w:val="00EA4450"/>
    <w:rsid w:val="00ED0B78"/>
    <w:rsid w:val="00ED5055"/>
    <w:rsid w:val="00EF1D40"/>
    <w:rsid w:val="00EF7509"/>
    <w:rsid w:val="00F0390C"/>
    <w:rsid w:val="00F07727"/>
    <w:rsid w:val="00F101D0"/>
    <w:rsid w:val="00F254F4"/>
    <w:rsid w:val="00F25578"/>
    <w:rsid w:val="00F263D0"/>
    <w:rsid w:val="00F26806"/>
    <w:rsid w:val="00F328C7"/>
    <w:rsid w:val="00F3791D"/>
    <w:rsid w:val="00F44DF9"/>
    <w:rsid w:val="00F452DA"/>
    <w:rsid w:val="00F927D0"/>
    <w:rsid w:val="00F92DB8"/>
    <w:rsid w:val="00F93632"/>
    <w:rsid w:val="00F97177"/>
    <w:rsid w:val="00F9799B"/>
    <w:rsid w:val="00FA0846"/>
    <w:rsid w:val="00FB5CC4"/>
    <w:rsid w:val="00FC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78ED3"/>
  <w15:chartTrackingRefBased/>
  <w15:docId w15:val="{BBDF6F61-D7E3-44DD-AC91-81669ED2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4B8"/>
  </w:style>
  <w:style w:type="paragraph" w:styleId="Heading2">
    <w:name w:val="heading 2"/>
    <w:basedOn w:val="Normal"/>
    <w:next w:val="Normal"/>
    <w:link w:val="Heading2Char"/>
    <w:uiPriority w:val="9"/>
    <w:unhideWhenUsed/>
    <w:qFormat/>
    <w:rsid w:val="00A37BB8"/>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868DA"/>
    <w:pPr>
      <w:ind w:left="720"/>
      <w:contextualSpacing/>
    </w:pPr>
  </w:style>
  <w:style w:type="paragraph" w:styleId="BalloonText">
    <w:name w:val="Balloon Text"/>
    <w:basedOn w:val="Normal"/>
    <w:link w:val="BalloonTextChar"/>
    <w:uiPriority w:val="99"/>
    <w:semiHidden/>
    <w:unhideWhenUsed/>
    <w:rsid w:val="006F5A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AB3"/>
    <w:rPr>
      <w:rFonts w:ascii="Segoe UI" w:hAnsi="Segoe UI" w:cs="Segoe UI"/>
      <w:sz w:val="18"/>
      <w:szCs w:val="18"/>
    </w:rPr>
  </w:style>
  <w:style w:type="table" w:styleId="TableGrid">
    <w:name w:val="Table Grid"/>
    <w:basedOn w:val="TableNormal"/>
    <w:uiPriority w:val="59"/>
    <w:rsid w:val="00EF1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F4"/>
    <w:pPr>
      <w:tabs>
        <w:tab w:val="center" w:pos="4680"/>
        <w:tab w:val="right" w:pos="9360"/>
      </w:tabs>
    </w:pPr>
  </w:style>
  <w:style w:type="character" w:customStyle="1" w:styleId="HeaderChar">
    <w:name w:val="Header Char"/>
    <w:basedOn w:val="DefaultParagraphFont"/>
    <w:link w:val="Header"/>
    <w:uiPriority w:val="99"/>
    <w:rsid w:val="00F254F4"/>
  </w:style>
  <w:style w:type="paragraph" w:styleId="Footer">
    <w:name w:val="footer"/>
    <w:basedOn w:val="Normal"/>
    <w:link w:val="FooterChar"/>
    <w:uiPriority w:val="99"/>
    <w:unhideWhenUsed/>
    <w:rsid w:val="00F254F4"/>
    <w:pPr>
      <w:tabs>
        <w:tab w:val="center" w:pos="4680"/>
        <w:tab w:val="right" w:pos="9360"/>
      </w:tabs>
    </w:pPr>
  </w:style>
  <w:style w:type="character" w:customStyle="1" w:styleId="FooterChar">
    <w:name w:val="Footer Char"/>
    <w:basedOn w:val="DefaultParagraphFont"/>
    <w:link w:val="Footer"/>
    <w:uiPriority w:val="99"/>
    <w:rsid w:val="00F254F4"/>
  </w:style>
  <w:style w:type="paragraph" w:styleId="BodyText">
    <w:name w:val="Body Text"/>
    <w:basedOn w:val="Normal"/>
    <w:link w:val="BodyTextChar"/>
    <w:uiPriority w:val="1"/>
    <w:qFormat/>
    <w:rsid w:val="00FB5CC4"/>
    <w:pPr>
      <w:widowControl w:val="0"/>
      <w:autoSpaceDE w:val="0"/>
      <w:autoSpaceDN w:val="0"/>
      <w:ind w:left="100"/>
    </w:pPr>
    <w:rPr>
      <w:rFonts w:ascii="Calibri" w:eastAsia="Calibri" w:hAnsi="Calibri" w:cs="Calibri"/>
    </w:rPr>
  </w:style>
  <w:style w:type="character" w:customStyle="1" w:styleId="BodyTextChar">
    <w:name w:val="Body Text Char"/>
    <w:basedOn w:val="DefaultParagraphFont"/>
    <w:link w:val="BodyText"/>
    <w:uiPriority w:val="1"/>
    <w:rsid w:val="00FB5CC4"/>
    <w:rPr>
      <w:rFonts w:ascii="Calibri" w:eastAsia="Calibri" w:hAnsi="Calibri" w:cs="Calibri"/>
    </w:rPr>
  </w:style>
  <w:style w:type="character" w:customStyle="1" w:styleId="Heading2Char">
    <w:name w:val="Heading 2 Char"/>
    <w:basedOn w:val="DefaultParagraphFont"/>
    <w:link w:val="Heading2"/>
    <w:uiPriority w:val="9"/>
    <w:rsid w:val="00A37BB8"/>
    <w:rPr>
      <w:rFonts w:asciiTheme="majorHAnsi" w:eastAsiaTheme="majorEastAsia" w:hAnsiTheme="majorHAnsi" w:cstheme="majorBidi"/>
      <w:b/>
      <w:bCs/>
      <w:color w:val="4472C4" w:themeColor="accent1"/>
      <w:sz w:val="26"/>
      <w:szCs w:val="26"/>
    </w:rPr>
  </w:style>
  <w:style w:type="paragraph" w:styleId="Revision">
    <w:name w:val="Revision"/>
    <w:hidden/>
    <w:uiPriority w:val="99"/>
    <w:semiHidden/>
    <w:rsid w:val="00F92DB8"/>
  </w:style>
  <w:style w:type="character" w:styleId="CommentReference">
    <w:name w:val="annotation reference"/>
    <w:basedOn w:val="DefaultParagraphFont"/>
    <w:uiPriority w:val="99"/>
    <w:semiHidden/>
    <w:unhideWhenUsed/>
    <w:rsid w:val="00C435D9"/>
    <w:rPr>
      <w:sz w:val="16"/>
      <w:szCs w:val="16"/>
    </w:rPr>
  </w:style>
  <w:style w:type="paragraph" w:styleId="CommentText">
    <w:name w:val="annotation text"/>
    <w:basedOn w:val="Normal"/>
    <w:link w:val="CommentTextChar"/>
    <w:uiPriority w:val="99"/>
    <w:semiHidden/>
    <w:unhideWhenUsed/>
    <w:rsid w:val="00C435D9"/>
    <w:rPr>
      <w:sz w:val="20"/>
      <w:szCs w:val="20"/>
    </w:rPr>
  </w:style>
  <w:style w:type="character" w:customStyle="1" w:styleId="CommentTextChar">
    <w:name w:val="Comment Text Char"/>
    <w:basedOn w:val="DefaultParagraphFont"/>
    <w:link w:val="CommentText"/>
    <w:uiPriority w:val="99"/>
    <w:semiHidden/>
    <w:rsid w:val="00C435D9"/>
    <w:rPr>
      <w:sz w:val="20"/>
      <w:szCs w:val="20"/>
    </w:rPr>
  </w:style>
  <w:style w:type="paragraph" w:styleId="CommentSubject">
    <w:name w:val="annotation subject"/>
    <w:basedOn w:val="CommentText"/>
    <w:next w:val="CommentText"/>
    <w:link w:val="CommentSubjectChar"/>
    <w:uiPriority w:val="99"/>
    <w:semiHidden/>
    <w:unhideWhenUsed/>
    <w:rsid w:val="00C435D9"/>
    <w:rPr>
      <w:b/>
      <w:bCs/>
    </w:rPr>
  </w:style>
  <w:style w:type="character" w:customStyle="1" w:styleId="CommentSubjectChar">
    <w:name w:val="Comment Subject Char"/>
    <w:basedOn w:val="CommentTextChar"/>
    <w:link w:val="CommentSubject"/>
    <w:uiPriority w:val="99"/>
    <w:semiHidden/>
    <w:rsid w:val="00C435D9"/>
    <w:rPr>
      <w:b/>
      <w:bCs/>
      <w:sz w:val="20"/>
      <w:szCs w:val="20"/>
    </w:rPr>
  </w:style>
  <w:style w:type="character" w:styleId="Hyperlink">
    <w:name w:val="Hyperlink"/>
    <w:basedOn w:val="DefaultParagraphFont"/>
    <w:uiPriority w:val="99"/>
    <w:unhideWhenUsed/>
    <w:rsid w:val="00215D58"/>
    <w:rPr>
      <w:color w:val="0563C1" w:themeColor="hyperlink"/>
      <w:u w:val="single"/>
    </w:rPr>
  </w:style>
  <w:style w:type="character" w:styleId="UnresolvedMention">
    <w:name w:val="Unresolved Mention"/>
    <w:basedOn w:val="DefaultParagraphFont"/>
    <w:uiPriority w:val="99"/>
    <w:semiHidden/>
    <w:unhideWhenUsed/>
    <w:rsid w:val="00215D58"/>
    <w:rPr>
      <w:color w:val="605E5C"/>
      <w:shd w:val="clear" w:color="auto" w:fill="E1DFDD"/>
    </w:rPr>
  </w:style>
  <w:style w:type="character" w:styleId="FollowedHyperlink">
    <w:name w:val="FollowedHyperlink"/>
    <w:basedOn w:val="DefaultParagraphFont"/>
    <w:uiPriority w:val="99"/>
    <w:semiHidden/>
    <w:unhideWhenUsed/>
    <w:rsid w:val="009F0A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435166">
      <w:bodyDiv w:val="1"/>
      <w:marLeft w:val="0"/>
      <w:marRight w:val="0"/>
      <w:marTop w:val="0"/>
      <w:marBottom w:val="0"/>
      <w:divBdr>
        <w:top w:val="none" w:sz="0" w:space="0" w:color="auto"/>
        <w:left w:val="none" w:sz="0" w:space="0" w:color="auto"/>
        <w:bottom w:val="none" w:sz="0" w:space="0" w:color="auto"/>
        <w:right w:val="none" w:sz="0" w:space="0" w:color="auto"/>
      </w:divBdr>
      <w:divsChild>
        <w:div w:id="1475099152">
          <w:marLeft w:val="0"/>
          <w:marRight w:val="0"/>
          <w:marTop w:val="0"/>
          <w:marBottom w:val="0"/>
          <w:divBdr>
            <w:top w:val="none" w:sz="0" w:space="0" w:color="auto"/>
            <w:left w:val="none" w:sz="0" w:space="0" w:color="auto"/>
            <w:bottom w:val="none" w:sz="0" w:space="0" w:color="auto"/>
            <w:right w:val="none" w:sz="0" w:space="0" w:color="auto"/>
          </w:divBdr>
          <w:divsChild>
            <w:div w:id="450518752">
              <w:marLeft w:val="0"/>
              <w:marRight w:val="0"/>
              <w:marTop w:val="0"/>
              <w:marBottom w:val="0"/>
              <w:divBdr>
                <w:top w:val="none" w:sz="0" w:space="0" w:color="auto"/>
                <w:left w:val="none" w:sz="0" w:space="0" w:color="auto"/>
                <w:bottom w:val="none" w:sz="0" w:space="0" w:color="auto"/>
                <w:right w:val="none" w:sz="0" w:space="0" w:color="auto"/>
              </w:divBdr>
              <w:divsChild>
                <w:div w:id="6523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6971">
      <w:bodyDiv w:val="1"/>
      <w:marLeft w:val="0"/>
      <w:marRight w:val="0"/>
      <w:marTop w:val="0"/>
      <w:marBottom w:val="0"/>
      <w:divBdr>
        <w:top w:val="none" w:sz="0" w:space="0" w:color="auto"/>
        <w:left w:val="none" w:sz="0" w:space="0" w:color="auto"/>
        <w:bottom w:val="none" w:sz="0" w:space="0" w:color="auto"/>
        <w:right w:val="none" w:sz="0" w:space="0" w:color="auto"/>
      </w:divBdr>
      <w:divsChild>
        <w:div w:id="1578392872">
          <w:marLeft w:val="0"/>
          <w:marRight w:val="0"/>
          <w:marTop w:val="0"/>
          <w:marBottom w:val="0"/>
          <w:divBdr>
            <w:top w:val="none" w:sz="0" w:space="0" w:color="auto"/>
            <w:left w:val="none" w:sz="0" w:space="0" w:color="auto"/>
            <w:bottom w:val="none" w:sz="0" w:space="0" w:color="auto"/>
            <w:right w:val="none" w:sz="0" w:space="0" w:color="auto"/>
          </w:divBdr>
          <w:divsChild>
            <w:div w:id="1744402997">
              <w:marLeft w:val="0"/>
              <w:marRight w:val="0"/>
              <w:marTop w:val="0"/>
              <w:marBottom w:val="0"/>
              <w:divBdr>
                <w:top w:val="none" w:sz="0" w:space="0" w:color="auto"/>
                <w:left w:val="none" w:sz="0" w:space="0" w:color="auto"/>
                <w:bottom w:val="none" w:sz="0" w:space="0" w:color="auto"/>
                <w:right w:val="none" w:sz="0" w:space="0" w:color="auto"/>
              </w:divBdr>
            </w:div>
          </w:divsChild>
        </w:div>
        <w:div w:id="776371060">
          <w:marLeft w:val="0"/>
          <w:marRight w:val="0"/>
          <w:marTop w:val="0"/>
          <w:marBottom w:val="0"/>
          <w:divBdr>
            <w:top w:val="none" w:sz="0" w:space="0" w:color="auto"/>
            <w:left w:val="none" w:sz="0" w:space="0" w:color="auto"/>
            <w:bottom w:val="none" w:sz="0" w:space="0" w:color="auto"/>
            <w:right w:val="none" w:sz="0" w:space="0" w:color="auto"/>
          </w:divBdr>
          <w:divsChild>
            <w:div w:id="1685203722">
              <w:marLeft w:val="0"/>
              <w:marRight w:val="0"/>
              <w:marTop w:val="0"/>
              <w:marBottom w:val="0"/>
              <w:divBdr>
                <w:top w:val="none" w:sz="0" w:space="0" w:color="auto"/>
                <w:left w:val="none" w:sz="0" w:space="0" w:color="auto"/>
                <w:bottom w:val="none" w:sz="0" w:space="0" w:color="auto"/>
                <w:right w:val="none" w:sz="0" w:space="0" w:color="auto"/>
              </w:divBdr>
            </w:div>
          </w:divsChild>
        </w:div>
        <w:div w:id="116919410">
          <w:marLeft w:val="0"/>
          <w:marRight w:val="0"/>
          <w:marTop w:val="0"/>
          <w:marBottom w:val="0"/>
          <w:divBdr>
            <w:top w:val="none" w:sz="0" w:space="0" w:color="auto"/>
            <w:left w:val="none" w:sz="0" w:space="0" w:color="auto"/>
            <w:bottom w:val="none" w:sz="0" w:space="0" w:color="auto"/>
            <w:right w:val="none" w:sz="0" w:space="0" w:color="auto"/>
          </w:divBdr>
          <w:divsChild>
            <w:div w:id="803697842">
              <w:marLeft w:val="0"/>
              <w:marRight w:val="0"/>
              <w:marTop w:val="0"/>
              <w:marBottom w:val="0"/>
              <w:divBdr>
                <w:top w:val="none" w:sz="0" w:space="0" w:color="auto"/>
                <w:left w:val="none" w:sz="0" w:space="0" w:color="auto"/>
                <w:bottom w:val="none" w:sz="0" w:space="0" w:color="auto"/>
                <w:right w:val="none" w:sz="0" w:space="0" w:color="auto"/>
              </w:divBdr>
            </w:div>
          </w:divsChild>
        </w:div>
        <w:div w:id="176845704">
          <w:marLeft w:val="0"/>
          <w:marRight w:val="0"/>
          <w:marTop w:val="0"/>
          <w:marBottom w:val="0"/>
          <w:divBdr>
            <w:top w:val="none" w:sz="0" w:space="0" w:color="auto"/>
            <w:left w:val="none" w:sz="0" w:space="0" w:color="auto"/>
            <w:bottom w:val="none" w:sz="0" w:space="0" w:color="auto"/>
            <w:right w:val="none" w:sz="0" w:space="0" w:color="auto"/>
          </w:divBdr>
          <w:divsChild>
            <w:div w:id="192591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80845">
      <w:bodyDiv w:val="1"/>
      <w:marLeft w:val="0"/>
      <w:marRight w:val="0"/>
      <w:marTop w:val="0"/>
      <w:marBottom w:val="0"/>
      <w:divBdr>
        <w:top w:val="none" w:sz="0" w:space="0" w:color="auto"/>
        <w:left w:val="none" w:sz="0" w:space="0" w:color="auto"/>
        <w:bottom w:val="none" w:sz="0" w:space="0" w:color="auto"/>
        <w:right w:val="none" w:sz="0" w:space="0" w:color="auto"/>
      </w:divBdr>
      <w:divsChild>
        <w:div w:id="1671986785">
          <w:marLeft w:val="0"/>
          <w:marRight w:val="0"/>
          <w:marTop w:val="0"/>
          <w:marBottom w:val="0"/>
          <w:divBdr>
            <w:top w:val="none" w:sz="0" w:space="0" w:color="auto"/>
            <w:left w:val="none" w:sz="0" w:space="0" w:color="auto"/>
            <w:bottom w:val="none" w:sz="0" w:space="0" w:color="auto"/>
            <w:right w:val="none" w:sz="0" w:space="0" w:color="auto"/>
          </w:divBdr>
          <w:divsChild>
            <w:div w:id="1126579574">
              <w:marLeft w:val="0"/>
              <w:marRight w:val="0"/>
              <w:marTop w:val="0"/>
              <w:marBottom w:val="0"/>
              <w:divBdr>
                <w:top w:val="none" w:sz="0" w:space="0" w:color="auto"/>
                <w:left w:val="none" w:sz="0" w:space="0" w:color="auto"/>
                <w:bottom w:val="none" w:sz="0" w:space="0" w:color="auto"/>
                <w:right w:val="none" w:sz="0" w:space="0" w:color="auto"/>
              </w:divBdr>
              <w:divsChild>
                <w:div w:id="82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daptimmune.com/products/tecelra-prescribing-information"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CLASSIFICATIONDATETIME%">15:43 12/10/2020</XMLData>
</file>

<file path=customXml/item2.xml><?xml version="1.0" encoding="utf-8"?>
<XMLData TextToDisplay="%DOCUMENTGUID%">{00000000-0000-0000-0000-000000000000}</XMLData>
</file>

<file path=customXml/item3.xml><?xml version="1.0" encoding="utf-8"?>
<XMLData TextToDisplay="%EMAILADDRESS%">Amy.Milkowski@iconplc.com</XMLData>
</file>

<file path=customXml/item4.xml><?xml version="1.0" encoding="utf-8"?>
<XMLData TextToDisplay="%USERNAME%">MilkowskiA</XMLData>
</file>

<file path=customXml/item5.xml><?xml version="1.0" encoding="utf-8"?>
<XMLData TextToDisplay="%HOSTNAME%">am-svdsk16ar-07.iconcr.com</XMLData>
</file>

<file path=customXml/item6.xml><?xml version="1.0" encoding="utf-8"?>
<XMLData TextToDisplay="RightsWATCHMark">4|ICN-ICN-INTERNAL|{00000000-0000-0000-0000-000000000000}</XMLData>
</file>

<file path=customXml/itemProps1.xml><?xml version="1.0" encoding="utf-8"?>
<ds:datastoreItem xmlns:ds="http://schemas.openxmlformats.org/officeDocument/2006/customXml" ds:itemID="{F65EBA1B-E957-4844-BDAD-730CDE04DD0D}">
  <ds:schemaRefs/>
</ds:datastoreItem>
</file>

<file path=customXml/itemProps2.xml><?xml version="1.0" encoding="utf-8"?>
<ds:datastoreItem xmlns:ds="http://schemas.openxmlformats.org/officeDocument/2006/customXml" ds:itemID="{2B3594C1-5626-416E-BE36-B3560BC31530}">
  <ds:schemaRefs/>
</ds:datastoreItem>
</file>

<file path=customXml/itemProps3.xml><?xml version="1.0" encoding="utf-8"?>
<ds:datastoreItem xmlns:ds="http://schemas.openxmlformats.org/officeDocument/2006/customXml" ds:itemID="{B032F4D4-6707-49C7-B228-DE14B28902A4}">
  <ds:schemaRefs/>
</ds:datastoreItem>
</file>

<file path=customXml/itemProps4.xml><?xml version="1.0" encoding="utf-8"?>
<ds:datastoreItem xmlns:ds="http://schemas.openxmlformats.org/officeDocument/2006/customXml" ds:itemID="{49083A68-4D8F-46E1-8A51-9FFD3CBFD895}">
  <ds:schemaRefs/>
</ds:datastoreItem>
</file>

<file path=customXml/itemProps5.xml><?xml version="1.0" encoding="utf-8"?>
<ds:datastoreItem xmlns:ds="http://schemas.openxmlformats.org/officeDocument/2006/customXml" ds:itemID="{56C9D97D-B565-4C39-A5F4-D8B186C8F524}">
  <ds:schemaRefs/>
</ds:datastoreItem>
</file>

<file path=customXml/itemProps6.xml><?xml version="1.0" encoding="utf-8"?>
<ds:datastoreItem xmlns:ds="http://schemas.openxmlformats.org/officeDocument/2006/customXml" ds:itemID="{796FE465-D3BB-4806-BE2A-051B9F45CA8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Papshev</dc:creator>
  <cp:keywords/>
  <dc:description/>
  <cp:lastModifiedBy>Betsy Fink</cp:lastModifiedBy>
  <cp:revision>2</cp:revision>
  <cp:lastPrinted>2021-06-07T21:42:00Z</cp:lastPrinted>
  <dcterms:created xsi:type="dcterms:W3CDTF">2024-08-02T16:42:00Z</dcterms:created>
  <dcterms:modified xsi:type="dcterms:W3CDTF">2024-08-02T16:42:00Z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4|ICN-ICN-INTERNAL|{00000000-0000-0000-0000-000000000000}</vt:lpwstr>
  </property>
</Properties>
</file>